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856E" w14:textId="52109C78" w:rsidR="003B4C1E" w:rsidRPr="009978C2" w:rsidRDefault="1F718EED" w:rsidP="008D40F4">
      <w:pPr>
        <w:pStyle w:val="NoSpacing"/>
        <w:spacing w:line="360" w:lineRule="auto"/>
        <w:ind w:left="720" w:hanging="720"/>
        <w:jc w:val="both"/>
        <w:rPr>
          <w:b/>
          <w:bCs/>
          <w:sz w:val="36"/>
          <w:szCs w:val="36"/>
        </w:rPr>
      </w:pPr>
      <w:r w:rsidRPr="5B943D78">
        <w:rPr>
          <w:b/>
          <w:bCs/>
          <w:sz w:val="36"/>
          <w:szCs w:val="36"/>
        </w:rPr>
        <w:t xml:space="preserve">Annex 2: Guidance on </w:t>
      </w:r>
      <w:r w:rsidR="009F6F84">
        <w:rPr>
          <w:b/>
          <w:bCs/>
          <w:sz w:val="36"/>
          <w:szCs w:val="36"/>
        </w:rPr>
        <w:t xml:space="preserve">Quarterly </w:t>
      </w:r>
      <w:r w:rsidRPr="5B943D78">
        <w:rPr>
          <w:b/>
          <w:bCs/>
          <w:sz w:val="36"/>
          <w:szCs w:val="36"/>
        </w:rPr>
        <w:t>Financial Reports</w:t>
      </w:r>
    </w:p>
    <w:p w14:paraId="481A0091" w14:textId="267C294A" w:rsidR="007B6149" w:rsidRDefault="00ED5746" w:rsidP="008D40F4">
      <w:pPr>
        <w:pStyle w:val="NoSpacing"/>
        <w:spacing w:line="360" w:lineRule="auto"/>
        <w:ind w:left="720" w:hanging="720"/>
        <w:jc w:val="both"/>
        <w:rPr>
          <w:b/>
          <w:bCs/>
          <w:sz w:val="24"/>
          <w:szCs w:val="24"/>
        </w:rPr>
      </w:pPr>
      <w:r>
        <w:rPr>
          <w:b/>
          <w:bCs/>
          <w:sz w:val="24"/>
          <w:szCs w:val="24"/>
        </w:rPr>
        <w:t>Effective March 1,</w:t>
      </w:r>
      <w:r w:rsidR="002A7137">
        <w:rPr>
          <w:b/>
          <w:bCs/>
          <w:sz w:val="24"/>
          <w:szCs w:val="24"/>
        </w:rPr>
        <w:t xml:space="preserve"> 2024</w:t>
      </w:r>
    </w:p>
    <w:p w14:paraId="5881FE84" w14:textId="77777777" w:rsidR="002A7137" w:rsidRPr="000E6C91" w:rsidRDefault="002A7137" w:rsidP="008D40F4">
      <w:pPr>
        <w:pStyle w:val="NoSpacing"/>
        <w:spacing w:line="360" w:lineRule="auto"/>
        <w:ind w:left="720" w:hanging="720"/>
        <w:jc w:val="both"/>
        <w:rPr>
          <w:b/>
          <w:bCs/>
          <w:sz w:val="24"/>
          <w:szCs w:val="24"/>
        </w:rPr>
      </w:pPr>
    </w:p>
    <w:sdt>
      <w:sdtPr>
        <w:rPr>
          <w:rFonts w:ascii="Times New Roman" w:eastAsia="Times New Roman" w:hAnsi="Times New Roman" w:cs="Times New Roman"/>
          <w:color w:val="auto"/>
          <w:sz w:val="24"/>
          <w:szCs w:val="24"/>
        </w:rPr>
        <w:id w:val="-741180862"/>
        <w:docPartObj>
          <w:docPartGallery w:val="Table of Contents"/>
          <w:docPartUnique/>
        </w:docPartObj>
      </w:sdtPr>
      <w:sdtEndPr>
        <w:rPr>
          <w:b/>
          <w:bCs/>
          <w:noProof/>
        </w:rPr>
      </w:sdtEndPr>
      <w:sdtContent>
        <w:p w14:paraId="2339B516" w14:textId="72A2C842" w:rsidR="00347131" w:rsidRPr="0026194B" w:rsidRDefault="00347131" w:rsidP="008D40F4">
          <w:pPr>
            <w:pStyle w:val="TOCHeading"/>
            <w:numPr>
              <w:ilvl w:val="0"/>
              <w:numId w:val="0"/>
            </w:numPr>
            <w:jc w:val="both"/>
            <w:rPr>
              <w:rFonts w:ascii="Times New Roman" w:hAnsi="Times New Roman" w:cs="Times New Roman"/>
            </w:rPr>
          </w:pPr>
          <w:r w:rsidRPr="0026194B">
            <w:rPr>
              <w:rFonts w:ascii="Times New Roman" w:hAnsi="Times New Roman" w:cs="Times New Roman"/>
            </w:rPr>
            <w:t>Table of Contents</w:t>
          </w:r>
        </w:p>
        <w:p w14:paraId="6D20876A" w14:textId="1BFB1B7A" w:rsidR="00ED5746" w:rsidRDefault="00347131">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r w:rsidRPr="0026194B">
            <w:fldChar w:fldCharType="begin"/>
          </w:r>
          <w:r w:rsidRPr="0026194B">
            <w:instrText xml:space="preserve"> TOC \o "1-3" \h \z \u </w:instrText>
          </w:r>
          <w:r w:rsidRPr="0026194B">
            <w:fldChar w:fldCharType="separate"/>
          </w:r>
          <w:hyperlink w:anchor="_Toc159578685" w:history="1">
            <w:r w:rsidR="00ED5746" w:rsidRPr="009561DA">
              <w:rPr>
                <w:rStyle w:val="Hyperlink"/>
                <w:noProof/>
              </w:rPr>
              <w:t>I.</w:t>
            </w:r>
            <w:r w:rsidR="00ED5746">
              <w:rPr>
                <w:rFonts w:asciiTheme="minorHAnsi" w:eastAsiaTheme="minorEastAsia" w:hAnsiTheme="minorHAnsi" w:cstheme="minorBidi"/>
                <w:noProof/>
                <w:kern w:val="2"/>
                <w:sz w:val="22"/>
                <w:szCs w:val="22"/>
                <w14:ligatures w14:val="standardContextual"/>
              </w:rPr>
              <w:tab/>
            </w:r>
            <w:r w:rsidR="00ED5746" w:rsidRPr="009561DA">
              <w:rPr>
                <w:rStyle w:val="Hyperlink"/>
                <w:noProof/>
              </w:rPr>
              <w:t>Introduction</w:t>
            </w:r>
            <w:r w:rsidR="00ED5746">
              <w:rPr>
                <w:noProof/>
                <w:webHidden/>
              </w:rPr>
              <w:tab/>
            </w:r>
            <w:r w:rsidR="00ED5746">
              <w:rPr>
                <w:noProof/>
                <w:webHidden/>
              </w:rPr>
              <w:fldChar w:fldCharType="begin"/>
            </w:r>
            <w:r w:rsidR="00ED5746">
              <w:rPr>
                <w:noProof/>
                <w:webHidden/>
              </w:rPr>
              <w:instrText xml:space="preserve"> PAGEREF _Toc159578685 \h </w:instrText>
            </w:r>
            <w:r w:rsidR="00ED5746">
              <w:rPr>
                <w:noProof/>
                <w:webHidden/>
              </w:rPr>
            </w:r>
            <w:r w:rsidR="00ED5746">
              <w:rPr>
                <w:noProof/>
                <w:webHidden/>
              </w:rPr>
              <w:fldChar w:fldCharType="separate"/>
            </w:r>
            <w:r w:rsidR="00ED5746">
              <w:rPr>
                <w:noProof/>
                <w:webHidden/>
              </w:rPr>
              <w:t>2</w:t>
            </w:r>
            <w:r w:rsidR="00ED5746">
              <w:rPr>
                <w:noProof/>
                <w:webHidden/>
              </w:rPr>
              <w:fldChar w:fldCharType="end"/>
            </w:r>
          </w:hyperlink>
        </w:p>
        <w:p w14:paraId="13F7ED1D" w14:textId="3682E305" w:rsidR="00ED5746" w:rsidRDefault="00ED5746">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59578686" w:history="1">
            <w:r w:rsidRPr="009561DA">
              <w:rPr>
                <w:rStyle w:val="Hyperlink"/>
                <w:noProof/>
              </w:rPr>
              <w:t>II.</w:t>
            </w:r>
            <w:r>
              <w:rPr>
                <w:rFonts w:asciiTheme="minorHAnsi" w:eastAsiaTheme="minorEastAsia" w:hAnsiTheme="minorHAnsi" w:cstheme="minorBidi"/>
                <w:noProof/>
                <w:kern w:val="2"/>
                <w:sz w:val="22"/>
                <w:szCs w:val="22"/>
                <w14:ligatures w14:val="standardContextual"/>
              </w:rPr>
              <w:tab/>
            </w:r>
            <w:r w:rsidRPr="009561DA">
              <w:rPr>
                <w:rStyle w:val="Hyperlink"/>
                <w:noProof/>
              </w:rPr>
              <w:t>Quarter numbering and submission timing</w:t>
            </w:r>
            <w:r>
              <w:rPr>
                <w:noProof/>
                <w:webHidden/>
              </w:rPr>
              <w:tab/>
            </w:r>
            <w:r>
              <w:rPr>
                <w:noProof/>
                <w:webHidden/>
              </w:rPr>
              <w:fldChar w:fldCharType="begin"/>
            </w:r>
            <w:r>
              <w:rPr>
                <w:noProof/>
                <w:webHidden/>
              </w:rPr>
              <w:instrText xml:space="preserve"> PAGEREF _Toc159578686 \h </w:instrText>
            </w:r>
            <w:r>
              <w:rPr>
                <w:noProof/>
                <w:webHidden/>
              </w:rPr>
            </w:r>
            <w:r>
              <w:rPr>
                <w:noProof/>
                <w:webHidden/>
              </w:rPr>
              <w:fldChar w:fldCharType="separate"/>
            </w:r>
            <w:r>
              <w:rPr>
                <w:noProof/>
                <w:webHidden/>
              </w:rPr>
              <w:t>2</w:t>
            </w:r>
            <w:r>
              <w:rPr>
                <w:noProof/>
                <w:webHidden/>
              </w:rPr>
              <w:fldChar w:fldCharType="end"/>
            </w:r>
          </w:hyperlink>
        </w:p>
        <w:p w14:paraId="295031E6" w14:textId="0F034393" w:rsidR="00ED5746" w:rsidRDefault="00ED5746">
          <w:pPr>
            <w:pStyle w:val="TOC1"/>
            <w:tabs>
              <w:tab w:val="left" w:pos="660"/>
              <w:tab w:val="right" w:leader="dot" w:pos="9350"/>
            </w:tabs>
            <w:rPr>
              <w:rFonts w:asciiTheme="minorHAnsi" w:eastAsiaTheme="minorEastAsia" w:hAnsiTheme="minorHAnsi" w:cstheme="minorBidi"/>
              <w:noProof/>
              <w:kern w:val="2"/>
              <w:sz w:val="22"/>
              <w:szCs w:val="22"/>
              <w14:ligatures w14:val="standardContextual"/>
            </w:rPr>
          </w:pPr>
          <w:hyperlink w:anchor="_Toc159578687" w:history="1">
            <w:r w:rsidRPr="009561DA">
              <w:rPr>
                <w:rStyle w:val="Hyperlink"/>
                <w:noProof/>
              </w:rPr>
              <w:t>III.</w:t>
            </w:r>
            <w:r>
              <w:rPr>
                <w:rFonts w:asciiTheme="minorHAnsi" w:eastAsiaTheme="minorEastAsia" w:hAnsiTheme="minorHAnsi" w:cstheme="minorBidi"/>
                <w:noProof/>
                <w:kern w:val="2"/>
                <w:sz w:val="22"/>
                <w:szCs w:val="22"/>
                <w14:ligatures w14:val="standardContextual"/>
              </w:rPr>
              <w:tab/>
            </w:r>
            <w:r w:rsidRPr="009561DA">
              <w:rPr>
                <w:rStyle w:val="Hyperlink"/>
                <w:noProof/>
              </w:rPr>
              <w:t>QFR components and instructions</w:t>
            </w:r>
            <w:r>
              <w:rPr>
                <w:noProof/>
                <w:webHidden/>
              </w:rPr>
              <w:tab/>
            </w:r>
            <w:r>
              <w:rPr>
                <w:noProof/>
                <w:webHidden/>
              </w:rPr>
              <w:fldChar w:fldCharType="begin"/>
            </w:r>
            <w:r>
              <w:rPr>
                <w:noProof/>
                <w:webHidden/>
              </w:rPr>
              <w:instrText xml:space="preserve"> PAGEREF _Toc159578687 \h </w:instrText>
            </w:r>
            <w:r>
              <w:rPr>
                <w:noProof/>
                <w:webHidden/>
              </w:rPr>
            </w:r>
            <w:r>
              <w:rPr>
                <w:noProof/>
                <w:webHidden/>
              </w:rPr>
              <w:fldChar w:fldCharType="separate"/>
            </w:r>
            <w:r>
              <w:rPr>
                <w:noProof/>
                <w:webHidden/>
              </w:rPr>
              <w:t>3</w:t>
            </w:r>
            <w:r>
              <w:rPr>
                <w:noProof/>
                <w:webHidden/>
              </w:rPr>
              <w:fldChar w:fldCharType="end"/>
            </w:r>
          </w:hyperlink>
        </w:p>
        <w:p w14:paraId="04971F86" w14:textId="01762C7D" w:rsidR="00ED5746" w:rsidRDefault="00ED5746" w:rsidP="00ED5746">
          <w:pPr>
            <w:pStyle w:val="TOC2"/>
            <w:rPr>
              <w:rFonts w:asciiTheme="minorHAnsi" w:eastAsiaTheme="minorEastAsia" w:hAnsiTheme="minorHAnsi" w:cstheme="minorBidi"/>
              <w:kern w:val="2"/>
              <w:sz w:val="22"/>
              <w:szCs w:val="22"/>
              <w14:ligatures w14:val="standardContextual"/>
            </w:rPr>
          </w:pPr>
          <w:hyperlink w:anchor="_Toc159578688" w:history="1">
            <w:r w:rsidRPr="009561DA">
              <w:rPr>
                <w:rStyle w:val="Hyperlink"/>
                <w:rFonts w:eastAsia="Calibri"/>
              </w:rPr>
              <w:t>A.</w:t>
            </w:r>
            <w:r>
              <w:rPr>
                <w:rFonts w:asciiTheme="minorHAnsi" w:eastAsiaTheme="minorEastAsia" w:hAnsiTheme="minorHAnsi" w:cstheme="minorBidi"/>
                <w:kern w:val="2"/>
                <w:sz w:val="22"/>
                <w:szCs w:val="22"/>
                <w14:ligatures w14:val="standardContextual"/>
              </w:rPr>
              <w:tab/>
            </w:r>
            <w:r w:rsidRPr="009561DA">
              <w:rPr>
                <w:rStyle w:val="Hyperlink"/>
                <w:rFonts w:eastAsia="Calibri"/>
              </w:rPr>
              <w:t>Schedule A: Multi-Year Financial Plan (MYFP) Adjustment Request Form</w:t>
            </w:r>
            <w:r>
              <w:rPr>
                <w:webHidden/>
              </w:rPr>
              <w:tab/>
            </w:r>
            <w:r>
              <w:rPr>
                <w:webHidden/>
              </w:rPr>
              <w:fldChar w:fldCharType="begin"/>
            </w:r>
            <w:r>
              <w:rPr>
                <w:webHidden/>
              </w:rPr>
              <w:instrText xml:space="preserve"> PAGEREF _Toc159578688 \h </w:instrText>
            </w:r>
            <w:r>
              <w:rPr>
                <w:webHidden/>
              </w:rPr>
            </w:r>
            <w:r>
              <w:rPr>
                <w:webHidden/>
              </w:rPr>
              <w:fldChar w:fldCharType="separate"/>
            </w:r>
            <w:r>
              <w:rPr>
                <w:webHidden/>
              </w:rPr>
              <w:t>3</w:t>
            </w:r>
            <w:r>
              <w:rPr>
                <w:webHidden/>
              </w:rPr>
              <w:fldChar w:fldCharType="end"/>
            </w:r>
          </w:hyperlink>
        </w:p>
        <w:p w14:paraId="34A0F86D" w14:textId="61E2033C" w:rsidR="00ED5746" w:rsidRDefault="00ED5746">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9578689" w:history="1">
            <w:r w:rsidRPr="009561DA">
              <w:rPr>
                <w:rStyle w:val="Hyperlink"/>
                <w:noProof/>
              </w:rPr>
              <w:t>1.</w:t>
            </w:r>
            <w:r>
              <w:rPr>
                <w:rFonts w:asciiTheme="minorHAnsi" w:eastAsiaTheme="minorEastAsia" w:hAnsiTheme="minorHAnsi" w:cstheme="minorBidi"/>
                <w:noProof/>
                <w:kern w:val="2"/>
                <w:sz w:val="22"/>
                <w:szCs w:val="22"/>
                <w14:ligatures w14:val="standardContextual"/>
              </w:rPr>
              <w:tab/>
            </w:r>
            <w:r w:rsidRPr="009561DA">
              <w:rPr>
                <w:rStyle w:val="Hyperlink"/>
                <w:noProof/>
              </w:rPr>
              <w:t>Columns in Schedule A</w:t>
            </w:r>
            <w:r>
              <w:rPr>
                <w:noProof/>
                <w:webHidden/>
              </w:rPr>
              <w:tab/>
            </w:r>
            <w:r>
              <w:rPr>
                <w:noProof/>
                <w:webHidden/>
              </w:rPr>
              <w:fldChar w:fldCharType="begin"/>
            </w:r>
            <w:r>
              <w:rPr>
                <w:noProof/>
                <w:webHidden/>
              </w:rPr>
              <w:instrText xml:space="preserve"> PAGEREF _Toc159578689 \h </w:instrText>
            </w:r>
            <w:r>
              <w:rPr>
                <w:noProof/>
                <w:webHidden/>
              </w:rPr>
            </w:r>
            <w:r>
              <w:rPr>
                <w:noProof/>
                <w:webHidden/>
              </w:rPr>
              <w:fldChar w:fldCharType="separate"/>
            </w:r>
            <w:r>
              <w:rPr>
                <w:noProof/>
                <w:webHidden/>
              </w:rPr>
              <w:t>3</w:t>
            </w:r>
            <w:r>
              <w:rPr>
                <w:noProof/>
                <w:webHidden/>
              </w:rPr>
              <w:fldChar w:fldCharType="end"/>
            </w:r>
          </w:hyperlink>
        </w:p>
        <w:p w14:paraId="1E672F89" w14:textId="7356ABB0" w:rsidR="00ED5746" w:rsidRPr="00ED5746" w:rsidRDefault="00ED5746" w:rsidP="00ED5746">
          <w:pPr>
            <w:pStyle w:val="TOC2"/>
            <w:rPr>
              <w:rFonts w:asciiTheme="minorHAnsi" w:eastAsiaTheme="minorEastAsia" w:hAnsiTheme="minorHAnsi" w:cstheme="minorBidi"/>
              <w:kern w:val="2"/>
              <w:sz w:val="22"/>
              <w:szCs w:val="22"/>
              <w14:ligatures w14:val="standardContextual"/>
            </w:rPr>
          </w:pPr>
          <w:hyperlink w:anchor="_Toc159578690" w:history="1">
            <w:r w:rsidRPr="00ED5746">
              <w:rPr>
                <w:rStyle w:val="Hyperlink"/>
              </w:rPr>
              <w:t>B.</w:t>
            </w:r>
            <w:r w:rsidRPr="00ED5746">
              <w:rPr>
                <w:rFonts w:asciiTheme="minorHAnsi" w:eastAsiaTheme="minorEastAsia" w:hAnsiTheme="minorHAnsi" w:cstheme="minorBidi"/>
                <w:kern w:val="2"/>
                <w:sz w:val="22"/>
                <w:szCs w:val="22"/>
                <w14:ligatures w14:val="standardContextual"/>
              </w:rPr>
              <w:tab/>
            </w:r>
            <w:r w:rsidRPr="00ED5746">
              <w:rPr>
                <w:rStyle w:val="Hyperlink"/>
              </w:rPr>
              <w:t>Detailed Financial Plans (commitments and cash)</w:t>
            </w:r>
            <w:r w:rsidRPr="00ED5746">
              <w:rPr>
                <w:webHidden/>
              </w:rPr>
              <w:tab/>
            </w:r>
            <w:r w:rsidRPr="00ED5746">
              <w:rPr>
                <w:webHidden/>
              </w:rPr>
              <w:fldChar w:fldCharType="begin"/>
            </w:r>
            <w:r w:rsidRPr="00ED5746">
              <w:rPr>
                <w:webHidden/>
              </w:rPr>
              <w:instrText xml:space="preserve"> PAGEREF _Toc159578690 \h </w:instrText>
            </w:r>
            <w:r w:rsidRPr="00ED5746">
              <w:rPr>
                <w:webHidden/>
              </w:rPr>
            </w:r>
            <w:r w:rsidRPr="00ED5746">
              <w:rPr>
                <w:webHidden/>
              </w:rPr>
              <w:fldChar w:fldCharType="separate"/>
            </w:r>
            <w:r w:rsidRPr="00ED5746">
              <w:rPr>
                <w:webHidden/>
              </w:rPr>
              <w:t>4</w:t>
            </w:r>
            <w:r w:rsidRPr="00ED5746">
              <w:rPr>
                <w:webHidden/>
              </w:rPr>
              <w:fldChar w:fldCharType="end"/>
            </w:r>
          </w:hyperlink>
        </w:p>
        <w:p w14:paraId="77976E9C" w14:textId="2F87381A" w:rsidR="00ED5746" w:rsidRDefault="00ED5746">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9578691" w:history="1">
            <w:r w:rsidRPr="009561DA">
              <w:rPr>
                <w:rStyle w:val="Hyperlink"/>
                <w:noProof/>
              </w:rPr>
              <w:t>1.</w:t>
            </w:r>
            <w:r>
              <w:rPr>
                <w:rFonts w:asciiTheme="minorHAnsi" w:eastAsiaTheme="minorEastAsia" w:hAnsiTheme="minorHAnsi" w:cstheme="minorBidi"/>
                <w:noProof/>
                <w:kern w:val="2"/>
                <w:sz w:val="22"/>
                <w:szCs w:val="22"/>
                <w14:ligatures w14:val="standardContextual"/>
              </w:rPr>
              <w:tab/>
            </w:r>
            <w:r w:rsidRPr="009561DA">
              <w:rPr>
                <w:rStyle w:val="Hyperlink"/>
                <w:noProof/>
              </w:rPr>
              <w:t>Preparing the DFPs</w:t>
            </w:r>
            <w:r>
              <w:rPr>
                <w:noProof/>
                <w:webHidden/>
              </w:rPr>
              <w:tab/>
            </w:r>
            <w:r>
              <w:rPr>
                <w:noProof/>
                <w:webHidden/>
              </w:rPr>
              <w:fldChar w:fldCharType="begin"/>
            </w:r>
            <w:r>
              <w:rPr>
                <w:noProof/>
                <w:webHidden/>
              </w:rPr>
              <w:instrText xml:space="preserve"> PAGEREF _Toc159578691 \h </w:instrText>
            </w:r>
            <w:r>
              <w:rPr>
                <w:noProof/>
                <w:webHidden/>
              </w:rPr>
            </w:r>
            <w:r>
              <w:rPr>
                <w:noProof/>
                <w:webHidden/>
              </w:rPr>
              <w:fldChar w:fldCharType="separate"/>
            </w:r>
            <w:r>
              <w:rPr>
                <w:noProof/>
                <w:webHidden/>
              </w:rPr>
              <w:t>4</w:t>
            </w:r>
            <w:r>
              <w:rPr>
                <w:noProof/>
                <w:webHidden/>
              </w:rPr>
              <w:fldChar w:fldCharType="end"/>
            </w:r>
          </w:hyperlink>
        </w:p>
        <w:p w14:paraId="077B60B2" w14:textId="065A99C7" w:rsidR="00ED5746" w:rsidRDefault="00ED5746">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9578692" w:history="1">
            <w:r w:rsidRPr="009561DA">
              <w:rPr>
                <w:rStyle w:val="Hyperlink"/>
                <w:noProof/>
              </w:rPr>
              <w:t>2.</w:t>
            </w:r>
            <w:r>
              <w:rPr>
                <w:rFonts w:asciiTheme="minorHAnsi" w:eastAsiaTheme="minorEastAsia" w:hAnsiTheme="minorHAnsi" w:cstheme="minorBidi"/>
                <w:noProof/>
                <w:kern w:val="2"/>
                <w:sz w:val="22"/>
                <w:szCs w:val="22"/>
                <w14:ligatures w14:val="standardContextual"/>
              </w:rPr>
              <w:tab/>
            </w:r>
            <w:r w:rsidRPr="009561DA">
              <w:rPr>
                <w:rStyle w:val="Hyperlink"/>
                <w:noProof/>
              </w:rPr>
              <w:t>DFP terminology</w:t>
            </w:r>
            <w:r>
              <w:rPr>
                <w:noProof/>
                <w:webHidden/>
              </w:rPr>
              <w:tab/>
            </w:r>
            <w:r>
              <w:rPr>
                <w:noProof/>
                <w:webHidden/>
              </w:rPr>
              <w:fldChar w:fldCharType="begin"/>
            </w:r>
            <w:r>
              <w:rPr>
                <w:noProof/>
                <w:webHidden/>
              </w:rPr>
              <w:instrText xml:space="preserve"> PAGEREF _Toc159578692 \h </w:instrText>
            </w:r>
            <w:r>
              <w:rPr>
                <w:noProof/>
                <w:webHidden/>
              </w:rPr>
            </w:r>
            <w:r>
              <w:rPr>
                <w:noProof/>
                <w:webHidden/>
              </w:rPr>
              <w:fldChar w:fldCharType="separate"/>
            </w:r>
            <w:r>
              <w:rPr>
                <w:noProof/>
                <w:webHidden/>
              </w:rPr>
              <w:t>5</w:t>
            </w:r>
            <w:r>
              <w:rPr>
                <w:noProof/>
                <w:webHidden/>
              </w:rPr>
              <w:fldChar w:fldCharType="end"/>
            </w:r>
          </w:hyperlink>
        </w:p>
        <w:p w14:paraId="23393042" w14:textId="2A17FA5B" w:rsidR="00ED5746" w:rsidRDefault="00ED5746">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9578693" w:history="1">
            <w:r w:rsidRPr="009561DA">
              <w:rPr>
                <w:rStyle w:val="Hyperlink"/>
                <w:noProof/>
              </w:rPr>
              <w:t>3.</w:t>
            </w:r>
            <w:r>
              <w:rPr>
                <w:rFonts w:asciiTheme="minorHAnsi" w:eastAsiaTheme="minorEastAsia" w:hAnsiTheme="minorHAnsi" w:cstheme="minorBidi"/>
                <w:noProof/>
                <w:kern w:val="2"/>
                <w:sz w:val="22"/>
                <w:szCs w:val="22"/>
                <w14:ligatures w14:val="standardContextual"/>
              </w:rPr>
              <w:tab/>
            </w:r>
            <w:r w:rsidRPr="009561DA">
              <w:rPr>
                <w:rStyle w:val="Hyperlink"/>
                <w:noProof/>
              </w:rPr>
              <w:t>DFP-commitments</w:t>
            </w:r>
            <w:r>
              <w:rPr>
                <w:noProof/>
                <w:webHidden/>
              </w:rPr>
              <w:tab/>
            </w:r>
            <w:r>
              <w:rPr>
                <w:noProof/>
                <w:webHidden/>
              </w:rPr>
              <w:fldChar w:fldCharType="begin"/>
            </w:r>
            <w:r>
              <w:rPr>
                <w:noProof/>
                <w:webHidden/>
              </w:rPr>
              <w:instrText xml:space="preserve"> PAGEREF _Toc159578693 \h </w:instrText>
            </w:r>
            <w:r>
              <w:rPr>
                <w:noProof/>
                <w:webHidden/>
              </w:rPr>
            </w:r>
            <w:r>
              <w:rPr>
                <w:noProof/>
                <w:webHidden/>
              </w:rPr>
              <w:fldChar w:fldCharType="separate"/>
            </w:r>
            <w:r>
              <w:rPr>
                <w:noProof/>
                <w:webHidden/>
              </w:rPr>
              <w:t>6</w:t>
            </w:r>
            <w:r>
              <w:rPr>
                <w:noProof/>
                <w:webHidden/>
              </w:rPr>
              <w:fldChar w:fldCharType="end"/>
            </w:r>
          </w:hyperlink>
        </w:p>
        <w:p w14:paraId="63FD122A" w14:textId="501C778A" w:rsidR="00ED5746" w:rsidRDefault="00ED5746">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59578694" w:history="1">
            <w:r w:rsidRPr="009561DA">
              <w:rPr>
                <w:rStyle w:val="Hyperlink"/>
                <w:noProof/>
              </w:rPr>
              <w:t>4.</w:t>
            </w:r>
            <w:r>
              <w:rPr>
                <w:rFonts w:asciiTheme="minorHAnsi" w:eastAsiaTheme="minorEastAsia" w:hAnsiTheme="minorHAnsi" w:cstheme="minorBidi"/>
                <w:noProof/>
                <w:kern w:val="2"/>
                <w:sz w:val="22"/>
                <w:szCs w:val="22"/>
                <w14:ligatures w14:val="standardContextual"/>
              </w:rPr>
              <w:tab/>
            </w:r>
            <w:r w:rsidRPr="009561DA">
              <w:rPr>
                <w:rStyle w:val="Hyperlink"/>
                <w:noProof/>
              </w:rPr>
              <w:t>DFP-cash</w:t>
            </w:r>
            <w:r>
              <w:rPr>
                <w:noProof/>
                <w:webHidden/>
              </w:rPr>
              <w:tab/>
            </w:r>
            <w:r>
              <w:rPr>
                <w:noProof/>
                <w:webHidden/>
              </w:rPr>
              <w:fldChar w:fldCharType="begin"/>
            </w:r>
            <w:r>
              <w:rPr>
                <w:noProof/>
                <w:webHidden/>
              </w:rPr>
              <w:instrText xml:space="preserve"> PAGEREF _Toc159578694 \h </w:instrText>
            </w:r>
            <w:r>
              <w:rPr>
                <w:noProof/>
                <w:webHidden/>
              </w:rPr>
            </w:r>
            <w:r>
              <w:rPr>
                <w:noProof/>
                <w:webHidden/>
              </w:rPr>
              <w:fldChar w:fldCharType="separate"/>
            </w:r>
            <w:r>
              <w:rPr>
                <w:noProof/>
                <w:webHidden/>
              </w:rPr>
              <w:t>9</w:t>
            </w:r>
            <w:r>
              <w:rPr>
                <w:noProof/>
                <w:webHidden/>
              </w:rPr>
              <w:fldChar w:fldCharType="end"/>
            </w:r>
          </w:hyperlink>
        </w:p>
        <w:p w14:paraId="7EAECC51" w14:textId="517BABC2" w:rsidR="00ED5746" w:rsidRDefault="00ED5746" w:rsidP="00ED5746">
          <w:pPr>
            <w:pStyle w:val="TOC2"/>
            <w:rPr>
              <w:rFonts w:asciiTheme="minorHAnsi" w:eastAsiaTheme="minorEastAsia" w:hAnsiTheme="minorHAnsi" w:cstheme="minorBidi"/>
              <w:kern w:val="2"/>
              <w:sz w:val="22"/>
              <w:szCs w:val="22"/>
              <w14:ligatures w14:val="standardContextual"/>
            </w:rPr>
          </w:pPr>
          <w:hyperlink w:anchor="_Toc159578695" w:history="1">
            <w:r w:rsidRPr="009561DA">
              <w:rPr>
                <w:rStyle w:val="Hyperlink"/>
                <w:rFonts w:eastAsia="Calibri"/>
              </w:rPr>
              <w:t>C.</w:t>
            </w:r>
            <w:r>
              <w:rPr>
                <w:rFonts w:asciiTheme="minorHAnsi" w:eastAsiaTheme="minorEastAsia" w:hAnsiTheme="minorHAnsi" w:cstheme="minorBidi"/>
                <w:kern w:val="2"/>
                <w:sz w:val="22"/>
                <w:szCs w:val="22"/>
                <w14:ligatures w14:val="standardContextual"/>
              </w:rPr>
              <w:tab/>
            </w:r>
            <w:r w:rsidRPr="009561DA">
              <w:rPr>
                <w:rStyle w:val="Hyperlink"/>
                <w:rFonts w:eastAsia="Calibri"/>
              </w:rPr>
              <w:t>Disbursement Request and Disbursement Request Form</w:t>
            </w:r>
            <w:r>
              <w:rPr>
                <w:webHidden/>
              </w:rPr>
              <w:tab/>
            </w:r>
            <w:r>
              <w:rPr>
                <w:webHidden/>
              </w:rPr>
              <w:fldChar w:fldCharType="begin"/>
            </w:r>
            <w:r>
              <w:rPr>
                <w:webHidden/>
              </w:rPr>
              <w:instrText xml:space="preserve"> PAGEREF _Toc159578695 \h </w:instrText>
            </w:r>
            <w:r>
              <w:rPr>
                <w:webHidden/>
              </w:rPr>
            </w:r>
            <w:r>
              <w:rPr>
                <w:webHidden/>
              </w:rPr>
              <w:fldChar w:fldCharType="separate"/>
            </w:r>
            <w:r>
              <w:rPr>
                <w:webHidden/>
              </w:rPr>
              <w:t>11</w:t>
            </w:r>
            <w:r>
              <w:rPr>
                <w:webHidden/>
              </w:rPr>
              <w:fldChar w:fldCharType="end"/>
            </w:r>
          </w:hyperlink>
        </w:p>
        <w:p w14:paraId="12E13152" w14:textId="7F230CBD" w:rsidR="00ED5746" w:rsidRDefault="00ED5746" w:rsidP="00ED5746">
          <w:pPr>
            <w:pStyle w:val="TOC2"/>
            <w:rPr>
              <w:rFonts w:asciiTheme="minorHAnsi" w:eastAsiaTheme="minorEastAsia" w:hAnsiTheme="minorHAnsi" w:cstheme="minorBidi"/>
              <w:kern w:val="2"/>
              <w:sz w:val="22"/>
              <w:szCs w:val="22"/>
              <w14:ligatures w14:val="standardContextual"/>
            </w:rPr>
          </w:pPr>
          <w:hyperlink w:anchor="_Toc159578696" w:history="1">
            <w:r w:rsidRPr="009561DA">
              <w:rPr>
                <w:rStyle w:val="Hyperlink"/>
                <w:rFonts w:eastAsia="Calibri"/>
              </w:rPr>
              <w:t>D.</w:t>
            </w:r>
            <w:r>
              <w:rPr>
                <w:rFonts w:asciiTheme="minorHAnsi" w:eastAsiaTheme="minorEastAsia" w:hAnsiTheme="minorHAnsi" w:cstheme="minorBidi"/>
                <w:kern w:val="2"/>
                <w:sz w:val="22"/>
                <w:szCs w:val="22"/>
                <w14:ligatures w14:val="standardContextual"/>
              </w:rPr>
              <w:tab/>
            </w:r>
            <w:r w:rsidRPr="009561DA">
              <w:rPr>
                <w:rStyle w:val="Hyperlink"/>
                <w:rFonts w:eastAsia="Calibri"/>
              </w:rPr>
              <w:t>Contract Detail Reports</w:t>
            </w:r>
            <w:r>
              <w:rPr>
                <w:webHidden/>
              </w:rPr>
              <w:tab/>
            </w:r>
            <w:r>
              <w:rPr>
                <w:webHidden/>
              </w:rPr>
              <w:fldChar w:fldCharType="begin"/>
            </w:r>
            <w:r>
              <w:rPr>
                <w:webHidden/>
              </w:rPr>
              <w:instrText xml:space="preserve"> PAGEREF _Toc159578696 \h </w:instrText>
            </w:r>
            <w:r>
              <w:rPr>
                <w:webHidden/>
              </w:rPr>
            </w:r>
            <w:r>
              <w:rPr>
                <w:webHidden/>
              </w:rPr>
              <w:fldChar w:fldCharType="separate"/>
            </w:r>
            <w:r>
              <w:rPr>
                <w:webHidden/>
              </w:rPr>
              <w:t>11</w:t>
            </w:r>
            <w:r>
              <w:rPr>
                <w:webHidden/>
              </w:rPr>
              <w:fldChar w:fldCharType="end"/>
            </w:r>
          </w:hyperlink>
        </w:p>
        <w:p w14:paraId="77E4C63C" w14:textId="642DCDDC" w:rsidR="00347131" w:rsidRPr="0026194B" w:rsidRDefault="00347131" w:rsidP="008D40F4">
          <w:pPr>
            <w:jc w:val="both"/>
          </w:pPr>
          <w:r w:rsidRPr="0026194B">
            <w:rPr>
              <w:b/>
              <w:bCs/>
              <w:noProof/>
            </w:rPr>
            <w:fldChar w:fldCharType="end"/>
          </w:r>
        </w:p>
      </w:sdtContent>
    </w:sdt>
    <w:p w14:paraId="6682A417" w14:textId="69011938" w:rsidR="009978C2" w:rsidRPr="0026194B" w:rsidRDefault="009978C2" w:rsidP="008D40F4">
      <w:pPr>
        <w:jc w:val="both"/>
        <w:rPr>
          <w:b/>
          <w:bCs/>
        </w:rPr>
      </w:pPr>
      <w:r w:rsidRPr="0026194B">
        <w:rPr>
          <w:b/>
          <w:bCs/>
        </w:rPr>
        <w:br w:type="page"/>
      </w:r>
    </w:p>
    <w:p w14:paraId="54F79172" w14:textId="6CEF0171" w:rsidR="003B4C1E" w:rsidRPr="0026194B" w:rsidRDefault="003B4C1E" w:rsidP="008D40F4">
      <w:pPr>
        <w:pStyle w:val="Heading1"/>
        <w:numPr>
          <w:ilvl w:val="0"/>
          <w:numId w:val="43"/>
        </w:numPr>
        <w:jc w:val="both"/>
        <w:rPr>
          <w:rFonts w:ascii="Times New Roman" w:hAnsi="Times New Roman"/>
          <w:color w:val="0070C0"/>
          <w:sz w:val="28"/>
          <w:szCs w:val="28"/>
        </w:rPr>
      </w:pPr>
      <w:bookmarkStart w:id="0" w:name="_Toc159578685"/>
      <w:r w:rsidRPr="0026194B">
        <w:rPr>
          <w:rFonts w:ascii="Times New Roman" w:hAnsi="Times New Roman"/>
          <w:color w:val="0070C0"/>
          <w:sz w:val="28"/>
          <w:szCs w:val="28"/>
        </w:rPr>
        <w:lastRenderedPageBreak/>
        <w:t>Introduction</w:t>
      </w:r>
      <w:bookmarkEnd w:id="0"/>
      <w:r w:rsidRPr="0026194B">
        <w:rPr>
          <w:rFonts w:ascii="Times New Roman" w:hAnsi="Times New Roman"/>
          <w:color w:val="0070C0"/>
          <w:sz w:val="28"/>
          <w:szCs w:val="28"/>
        </w:rPr>
        <w:t xml:space="preserve">  </w:t>
      </w:r>
    </w:p>
    <w:p w14:paraId="11FAF9FF" w14:textId="73EE4803" w:rsidR="003B4C1E" w:rsidRPr="0026194B" w:rsidRDefault="003B4C1E" w:rsidP="008D40F4">
      <w:pPr>
        <w:pStyle w:val="Default"/>
        <w:ind w:right="-40"/>
        <w:jc w:val="both"/>
        <w:rPr>
          <w:color w:val="auto"/>
          <w:sz w:val="22"/>
          <w:szCs w:val="22"/>
        </w:rPr>
      </w:pPr>
      <w:r w:rsidRPr="77F1C8E7">
        <w:rPr>
          <w:color w:val="auto"/>
          <w:sz w:val="22"/>
          <w:szCs w:val="22"/>
        </w:rPr>
        <w:t>This document provides instructions for completin</w:t>
      </w:r>
      <w:r w:rsidR="00670C23" w:rsidRPr="77F1C8E7">
        <w:rPr>
          <w:color w:val="auto"/>
          <w:sz w:val="22"/>
          <w:szCs w:val="22"/>
        </w:rPr>
        <w:t>g</w:t>
      </w:r>
      <w:r w:rsidRPr="77F1C8E7">
        <w:rPr>
          <w:color w:val="auto"/>
          <w:sz w:val="22"/>
          <w:szCs w:val="22"/>
        </w:rPr>
        <w:t xml:space="preserve"> the </w:t>
      </w:r>
      <w:r w:rsidR="00A00AF6" w:rsidRPr="77F1C8E7">
        <w:rPr>
          <w:color w:val="auto"/>
          <w:sz w:val="22"/>
          <w:szCs w:val="22"/>
        </w:rPr>
        <w:t xml:space="preserve">quarterly </w:t>
      </w:r>
      <w:r w:rsidRPr="77F1C8E7">
        <w:rPr>
          <w:color w:val="auto"/>
          <w:sz w:val="22"/>
          <w:szCs w:val="22"/>
        </w:rPr>
        <w:t>financial reports</w:t>
      </w:r>
      <w:r w:rsidR="00670C23" w:rsidRPr="77F1C8E7">
        <w:rPr>
          <w:color w:val="auto"/>
          <w:sz w:val="22"/>
          <w:szCs w:val="22"/>
        </w:rPr>
        <w:t xml:space="preserve"> </w:t>
      </w:r>
      <w:r w:rsidR="00A00AF6" w:rsidRPr="77F1C8E7">
        <w:rPr>
          <w:color w:val="auto"/>
          <w:sz w:val="22"/>
          <w:szCs w:val="22"/>
        </w:rPr>
        <w:t>(QFR) that must be submitted as part of</w:t>
      </w:r>
      <w:r w:rsidR="00670C23" w:rsidRPr="77F1C8E7">
        <w:rPr>
          <w:color w:val="auto"/>
          <w:sz w:val="22"/>
          <w:szCs w:val="22"/>
        </w:rPr>
        <w:t xml:space="preserve"> the </w:t>
      </w:r>
      <w:r w:rsidR="00A00AF6" w:rsidRPr="77F1C8E7">
        <w:rPr>
          <w:color w:val="auto"/>
          <w:sz w:val="22"/>
          <w:szCs w:val="22"/>
        </w:rPr>
        <w:t>Quarterly Disbursement Request Package (</w:t>
      </w:r>
      <w:r w:rsidR="00670C23" w:rsidRPr="77F1C8E7">
        <w:rPr>
          <w:color w:val="auto"/>
          <w:sz w:val="22"/>
          <w:szCs w:val="22"/>
        </w:rPr>
        <w:t>QDRP</w:t>
      </w:r>
      <w:r w:rsidR="00A00AF6" w:rsidRPr="77F1C8E7">
        <w:rPr>
          <w:color w:val="auto"/>
          <w:sz w:val="22"/>
          <w:szCs w:val="22"/>
        </w:rPr>
        <w:t>)</w:t>
      </w:r>
      <w:r w:rsidRPr="77F1C8E7">
        <w:rPr>
          <w:color w:val="auto"/>
          <w:sz w:val="22"/>
          <w:szCs w:val="22"/>
        </w:rPr>
        <w:t xml:space="preserve">. </w:t>
      </w:r>
      <w:r w:rsidR="00BE02B0">
        <w:rPr>
          <w:color w:val="auto"/>
          <w:sz w:val="22"/>
          <w:szCs w:val="22"/>
        </w:rPr>
        <w:t xml:space="preserve"> </w:t>
      </w:r>
    </w:p>
    <w:p w14:paraId="1D396E16" w14:textId="77777777" w:rsidR="00920AE3" w:rsidRPr="0026194B" w:rsidRDefault="00920AE3" w:rsidP="008D40F4">
      <w:pPr>
        <w:pStyle w:val="Default"/>
        <w:ind w:right="-40"/>
        <w:jc w:val="both"/>
        <w:rPr>
          <w:color w:val="auto"/>
          <w:sz w:val="22"/>
          <w:szCs w:val="22"/>
        </w:rPr>
      </w:pPr>
    </w:p>
    <w:p w14:paraId="3F410BF2" w14:textId="3164D901" w:rsidR="00920AE3" w:rsidRPr="0026194B" w:rsidRDefault="00237D32" w:rsidP="008D40F4">
      <w:pPr>
        <w:pStyle w:val="Default"/>
        <w:ind w:right="-40"/>
        <w:jc w:val="both"/>
        <w:rPr>
          <w:color w:val="auto"/>
          <w:sz w:val="22"/>
          <w:szCs w:val="22"/>
        </w:rPr>
      </w:pPr>
      <w:r w:rsidRPr="0026194B">
        <w:rPr>
          <w:color w:val="auto"/>
          <w:sz w:val="22"/>
          <w:szCs w:val="22"/>
        </w:rPr>
        <w:t>Accountable Entities (AE</w:t>
      </w:r>
      <w:r w:rsidR="00B31CB4">
        <w:rPr>
          <w:color w:val="auto"/>
          <w:sz w:val="22"/>
          <w:szCs w:val="22"/>
        </w:rPr>
        <w:t>s</w:t>
      </w:r>
      <w:r w:rsidRPr="0026194B">
        <w:rPr>
          <w:color w:val="auto"/>
          <w:sz w:val="22"/>
          <w:szCs w:val="22"/>
        </w:rPr>
        <w:t>) are required to submit s</w:t>
      </w:r>
      <w:r w:rsidR="00920AE3" w:rsidRPr="0026194B">
        <w:rPr>
          <w:color w:val="auto"/>
          <w:sz w:val="22"/>
          <w:szCs w:val="22"/>
        </w:rPr>
        <w:t>eparate QDRPs</w:t>
      </w:r>
      <w:r w:rsidR="00803247" w:rsidRPr="0026194B">
        <w:rPr>
          <w:color w:val="auto"/>
          <w:sz w:val="22"/>
          <w:szCs w:val="22"/>
        </w:rPr>
        <w:t xml:space="preserve">—and </w:t>
      </w:r>
      <w:r w:rsidR="00E949AD" w:rsidRPr="0026194B">
        <w:rPr>
          <w:color w:val="auto"/>
          <w:sz w:val="22"/>
          <w:szCs w:val="22"/>
        </w:rPr>
        <w:t xml:space="preserve">the </w:t>
      </w:r>
      <w:r w:rsidR="00803247" w:rsidRPr="0026194B">
        <w:rPr>
          <w:color w:val="auto"/>
          <w:sz w:val="22"/>
          <w:szCs w:val="22"/>
        </w:rPr>
        <w:t>associated QFR—</w:t>
      </w:r>
      <w:r w:rsidR="00920AE3" w:rsidRPr="0026194B">
        <w:rPr>
          <w:color w:val="auto"/>
          <w:sz w:val="22"/>
          <w:szCs w:val="22"/>
        </w:rPr>
        <w:t xml:space="preserve">for each </w:t>
      </w:r>
      <w:r w:rsidR="003271D4">
        <w:rPr>
          <w:color w:val="auto"/>
          <w:sz w:val="22"/>
          <w:szCs w:val="22"/>
        </w:rPr>
        <w:t xml:space="preserve">applicable </w:t>
      </w:r>
      <w:r w:rsidR="00920AE3" w:rsidRPr="0026194B">
        <w:rPr>
          <w:color w:val="auto"/>
          <w:sz w:val="22"/>
          <w:szCs w:val="22"/>
        </w:rPr>
        <w:t xml:space="preserve">MCC funding source, including:  </w:t>
      </w:r>
    </w:p>
    <w:p w14:paraId="3D742778" w14:textId="11B4B455" w:rsidR="00920AE3" w:rsidRPr="0026194B" w:rsidRDefault="00920AE3" w:rsidP="008D40F4">
      <w:pPr>
        <w:pStyle w:val="Default"/>
        <w:numPr>
          <w:ilvl w:val="0"/>
          <w:numId w:val="11"/>
        </w:numPr>
        <w:ind w:right="-40"/>
        <w:jc w:val="both"/>
        <w:rPr>
          <w:color w:val="auto"/>
          <w:sz w:val="22"/>
          <w:szCs w:val="22"/>
        </w:rPr>
      </w:pPr>
      <w:r w:rsidRPr="0026194B">
        <w:rPr>
          <w:color w:val="auto"/>
          <w:sz w:val="22"/>
          <w:szCs w:val="22"/>
        </w:rPr>
        <w:t>Compact Development Funding (CDF)</w:t>
      </w:r>
      <w:r w:rsidR="00E949AD" w:rsidRPr="0026194B">
        <w:rPr>
          <w:color w:val="auto"/>
          <w:sz w:val="22"/>
          <w:szCs w:val="22"/>
        </w:rPr>
        <w:t>,</w:t>
      </w:r>
      <w:r w:rsidRPr="0026194B">
        <w:rPr>
          <w:color w:val="auto"/>
          <w:sz w:val="22"/>
          <w:szCs w:val="22"/>
        </w:rPr>
        <w:t xml:space="preserve"> </w:t>
      </w:r>
    </w:p>
    <w:p w14:paraId="2C1AF74B" w14:textId="5C76CDE9" w:rsidR="00920AE3" w:rsidRPr="0026194B" w:rsidRDefault="00920AE3" w:rsidP="008D40F4">
      <w:pPr>
        <w:pStyle w:val="Default"/>
        <w:numPr>
          <w:ilvl w:val="0"/>
          <w:numId w:val="11"/>
        </w:numPr>
        <w:ind w:right="-40"/>
        <w:jc w:val="both"/>
        <w:rPr>
          <w:color w:val="auto"/>
          <w:sz w:val="22"/>
          <w:szCs w:val="22"/>
        </w:rPr>
      </w:pPr>
      <w:r w:rsidRPr="0026194B">
        <w:rPr>
          <w:color w:val="auto"/>
          <w:sz w:val="22"/>
          <w:szCs w:val="22"/>
        </w:rPr>
        <w:t>Compact Facilitation Funding (CFF)</w:t>
      </w:r>
      <w:r w:rsidR="00E949AD" w:rsidRPr="0026194B">
        <w:rPr>
          <w:color w:val="auto"/>
          <w:sz w:val="22"/>
          <w:szCs w:val="22"/>
        </w:rPr>
        <w:t>,</w:t>
      </w:r>
      <w:r w:rsidRPr="0026194B">
        <w:rPr>
          <w:color w:val="auto"/>
          <w:sz w:val="22"/>
          <w:szCs w:val="22"/>
        </w:rPr>
        <w:t xml:space="preserve"> </w:t>
      </w:r>
    </w:p>
    <w:p w14:paraId="218DC3C7" w14:textId="3E4627D9" w:rsidR="00920AE3" w:rsidRPr="0026194B" w:rsidRDefault="00920AE3" w:rsidP="008D40F4">
      <w:pPr>
        <w:pStyle w:val="Default"/>
        <w:numPr>
          <w:ilvl w:val="0"/>
          <w:numId w:val="11"/>
        </w:numPr>
        <w:ind w:right="-40"/>
        <w:jc w:val="both"/>
        <w:rPr>
          <w:color w:val="auto"/>
          <w:sz w:val="22"/>
          <w:szCs w:val="22"/>
        </w:rPr>
      </w:pPr>
      <w:r w:rsidRPr="0026194B">
        <w:rPr>
          <w:color w:val="auto"/>
          <w:sz w:val="22"/>
          <w:szCs w:val="22"/>
        </w:rPr>
        <w:t>Compact Funding</w:t>
      </w:r>
      <w:r w:rsidR="00E949AD" w:rsidRPr="0026194B">
        <w:rPr>
          <w:color w:val="auto"/>
          <w:sz w:val="22"/>
          <w:szCs w:val="22"/>
        </w:rPr>
        <w:t xml:space="preserve">, and </w:t>
      </w:r>
    </w:p>
    <w:p w14:paraId="569C605D" w14:textId="7DD73401" w:rsidR="00920AE3" w:rsidRPr="0026194B" w:rsidRDefault="00920AE3" w:rsidP="008D40F4">
      <w:pPr>
        <w:pStyle w:val="Default"/>
        <w:numPr>
          <w:ilvl w:val="0"/>
          <w:numId w:val="11"/>
        </w:numPr>
        <w:ind w:right="-40"/>
        <w:jc w:val="both"/>
        <w:rPr>
          <w:color w:val="auto"/>
          <w:sz w:val="22"/>
          <w:szCs w:val="22"/>
        </w:rPr>
      </w:pPr>
      <w:r w:rsidRPr="0026194B">
        <w:rPr>
          <w:color w:val="auto"/>
          <w:sz w:val="22"/>
          <w:szCs w:val="22"/>
        </w:rPr>
        <w:t xml:space="preserve">Threshold </w:t>
      </w:r>
      <w:r w:rsidR="00123BA2">
        <w:rPr>
          <w:color w:val="auto"/>
          <w:sz w:val="22"/>
          <w:szCs w:val="22"/>
        </w:rPr>
        <w:t xml:space="preserve">Program </w:t>
      </w:r>
      <w:r w:rsidRPr="0026194B">
        <w:rPr>
          <w:color w:val="auto"/>
          <w:sz w:val="22"/>
          <w:szCs w:val="22"/>
        </w:rPr>
        <w:t>Funding</w:t>
      </w:r>
      <w:r w:rsidR="00E949AD" w:rsidRPr="0026194B">
        <w:rPr>
          <w:color w:val="auto"/>
          <w:sz w:val="22"/>
          <w:szCs w:val="22"/>
        </w:rPr>
        <w:t xml:space="preserve">. </w:t>
      </w:r>
    </w:p>
    <w:p w14:paraId="373FE24D" w14:textId="03FB71C0" w:rsidR="00395D64" w:rsidRPr="0026194B" w:rsidRDefault="00F70854" w:rsidP="008D40F4">
      <w:pPr>
        <w:pStyle w:val="Heading1"/>
        <w:numPr>
          <w:ilvl w:val="0"/>
          <w:numId w:val="35"/>
        </w:numPr>
        <w:jc w:val="both"/>
        <w:rPr>
          <w:rFonts w:ascii="Times New Roman" w:hAnsi="Times New Roman"/>
          <w:color w:val="0070C0"/>
          <w:sz w:val="28"/>
          <w:szCs w:val="28"/>
        </w:rPr>
      </w:pPr>
      <w:bookmarkStart w:id="1" w:name="_Toc159578686"/>
      <w:r w:rsidRPr="0026194B">
        <w:rPr>
          <w:rFonts w:ascii="Times New Roman" w:hAnsi="Times New Roman"/>
          <w:color w:val="0070C0"/>
          <w:sz w:val="28"/>
          <w:szCs w:val="28"/>
        </w:rPr>
        <w:t xml:space="preserve">Quarter </w:t>
      </w:r>
      <w:r w:rsidR="000A33B4" w:rsidRPr="0026194B">
        <w:rPr>
          <w:rFonts w:ascii="Times New Roman" w:hAnsi="Times New Roman"/>
          <w:color w:val="0070C0"/>
          <w:sz w:val="28"/>
          <w:szCs w:val="28"/>
        </w:rPr>
        <w:t xml:space="preserve">numbering and </w:t>
      </w:r>
      <w:r w:rsidR="008E09C5" w:rsidRPr="0026194B">
        <w:rPr>
          <w:rFonts w:ascii="Times New Roman" w:hAnsi="Times New Roman"/>
          <w:color w:val="0070C0"/>
          <w:sz w:val="28"/>
          <w:szCs w:val="28"/>
        </w:rPr>
        <w:t>submission</w:t>
      </w:r>
      <w:r w:rsidR="0023544E" w:rsidRPr="0026194B">
        <w:rPr>
          <w:rFonts w:ascii="Times New Roman" w:hAnsi="Times New Roman"/>
          <w:color w:val="0070C0"/>
          <w:sz w:val="28"/>
          <w:szCs w:val="28"/>
        </w:rPr>
        <w:t xml:space="preserve"> </w:t>
      </w:r>
      <w:r w:rsidR="009B25C5" w:rsidRPr="0026194B">
        <w:rPr>
          <w:rFonts w:ascii="Times New Roman" w:hAnsi="Times New Roman"/>
          <w:color w:val="0070C0"/>
          <w:sz w:val="28"/>
          <w:szCs w:val="28"/>
        </w:rPr>
        <w:t>timing</w:t>
      </w:r>
      <w:bookmarkEnd w:id="1"/>
      <w:r w:rsidR="000A33B4" w:rsidRPr="0026194B">
        <w:rPr>
          <w:rFonts w:ascii="Times New Roman" w:hAnsi="Times New Roman"/>
          <w:color w:val="0070C0"/>
          <w:sz w:val="28"/>
          <w:szCs w:val="28"/>
        </w:rPr>
        <w:t xml:space="preserve"> </w:t>
      </w:r>
    </w:p>
    <w:p w14:paraId="7F34CF1A" w14:textId="1335B60D" w:rsidR="0072583B" w:rsidRDefault="002262E6" w:rsidP="008D40F4">
      <w:pPr>
        <w:pStyle w:val="Default"/>
        <w:spacing w:line="259" w:lineRule="auto"/>
        <w:ind w:right="-40"/>
        <w:jc w:val="both"/>
        <w:rPr>
          <w:color w:val="auto"/>
          <w:sz w:val="22"/>
          <w:szCs w:val="22"/>
        </w:rPr>
      </w:pPr>
      <w:r>
        <w:rPr>
          <w:color w:val="auto"/>
          <w:sz w:val="22"/>
          <w:szCs w:val="22"/>
        </w:rPr>
        <w:t>QDRP</w:t>
      </w:r>
      <w:r w:rsidR="00322A55">
        <w:rPr>
          <w:color w:val="auto"/>
          <w:sz w:val="22"/>
          <w:szCs w:val="22"/>
        </w:rPr>
        <w:t>s</w:t>
      </w:r>
      <w:r>
        <w:rPr>
          <w:color w:val="auto"/>
          <w:sz w:val="22"/>
          <w:szCs w:val="22"/>
        </w:rPr>
        <w:t xml:space="preserve"> are identified </w:t>
      </w:r>
      <w:r w:rsidR="00EB1D1A">
        <w:rPr>
          <w:color w:val="auto"/>
          <w:sz w:val="22"/>
          <w:szCs w:val="22"/>
        </w:rPr>
        <w:t>by</w:t>
      </w:r>
      <w:r w:rsidR="00C34C17">
        <w:rPr>
          <w:color w:val="auto"/>
          <w:sz w:val="22"/>
          <w:szCs w:val="22"/>
        </w:rPr>
        <w:t xml:space="preserve"> </w:t>
      </w:r>
      <w:r w:rsidR="00A53CBD">
        <w:rPr>
          <w:color w:val="auto"/>
          <w:sz w:val="22"/>
          <w:szCs w:val="22"/>
        </w:rPr>
        <w:t xml:space="preserve">quarterly </w:t>
      </w:r>
      <w:r w:rsidR="00322A55">
        <w:rPr>
          <w:color w:val="auto"/>
          <w:sz w:val="22"/>
          <w:szCs w:val="22"/>
        </w:rPr>
        <w:t xml:space="preserve">submission </w:t>
      </w:r>
      <w:r w:rsidR="00C34C17">
        <w:rPr>
          <w:color w:val="auto"/>
          <w:sz w:val="22"/>
          <w:szCs w:val="22"/>
        </w:rPr>
        <w:t>numbers</w:t>
      </w:r>
      <w:r w:rsidR="00722960">
        <w:rPr>
          <w:color w:val="auto"/>
          <w:sz w:val="22"/>
          <w:szCs w:val="22"/>
        </w:rPr>
        <w:t>. These are</w:t>
      </w:r>
      <w:r w:rsidR="00322A55">
        <w:rPr>
          <w:color w:val="auto"/>
          <w:sz w:val="22"/>
          <w:szCs w:val="22"/>
        </w:rPr>
        <w:t xml:space="preserve"> found in MCC MIS.</w:t>
      </w:r>
      <w:r w:rsidR="00C34C17">
        <w:rPr>
          <w:color w:val="auto"/>
          <w:sz w:val="22"/>
          <w:szCs w:val="22"/>
        </w:rPr>
        <w:t xml:space="preserve"> </w:t>
      </w:r>
      <w:r w:rsidR="008259AD">
        <w:rPr>
          <w:color w:val="auto"/>
          <w:sz w:val="22"/>
          <w:szCs w:val="22"/>
        </w:rPr>
        <w:t>T</w:t>
      </w:r>
      <w:r w:rsidR="00444E39" w:rsidRPr="667E886F">
        <w:rPr>
          <w:color w:val="auto"/>
          <w:sz w:val="22"/>
          <w:szCs w:val="22"/>
        </w:rPr>
        <w:t xml:space="preserve">he numbering </w:t>
      </w:r>
      <w:r w:rsidR="00CC2125">
        <w:rPr>
          <w:color w:val="auto"/>
          <w:sz w:val="22"/>
          <w:szCs w:val="22"/>
        </w:rPr>
        <w:t xml:space="preserve">for the </w:t>
      </w:r>
      <w:r w:rsidR="00444E39" w:rsidRPr="667E886F">
        <w:rPr>
          <w:color w:val="auto"/>
          <w:sz w:val="22"/>
          <w:szCs w:val="22"/>
        </w:rPr>
        <w:t xml:space="preserve">QDRP quarters begins </w:t>
      </w:r>
      <w:r w:rsidR="512FA7B8" w:rsidRPr="667E886F">
        <w:rPr>
          <w:color w:val="auto"/>
          <w:sz w:val="22"/>
          <w:szCs w:val="22"/>
        </w:rPr>
        <w:t xml:space="preserve">with the </w:t>
      </w:r>
      <w:r w:rsidR="00444E39" w:rsidRPr="667E886F">
        <w:rPr>
          <w:color w:val="auto"/>
          <w:sz w:val="22"/>
          <w:szCs w:val="22"/>
        </w:rPr>
        <w:t xml:space="preserve">signing </w:t>
      </w:r>
      <w:r w:rsidR="344D73CD" w:rsidRPr="667E886F">
        <w:rPr>
          <w:color w:val="auto"/>
          <w:sz w:val="22"/>
          <w:szCs w:val="22"/>
        </w:rPr>
        <w:t xml:space="preserve">date </w:t>
      </w:r>
      <w:r w:rsidR="00E916DE">
        <w:rPr>
          <w:color w:val="auto"/>
          <w:sz w:val="22"/>
          <w:szCs w:val="22"/>
        </w:rPr>
        <w:t>for</w:t>
      </w:r>
      <w:r w:rsidR="299366CA" w:rsidRPr="667E886F">
        <w:rPr>
          <w:color w:val="auto"/>
          <w:sz w:val="22"/>
          <w:szCs w:val="22"/>
        </w:rPr>
        <w:t xml:space="preserve"> the </w:t>
      </w:r>
      <w:r w:rsidR="007470D2" w:rsidRPr="667E886F">
        <w:rPr>
          <w:color w:val="auto"/>
          <w:sz w:val="22"/>
          <w:szCs w:val="22"/>
        </w:rPr>
        <w:t>CDF</w:t>
      </w:r>
      <w:r w:rsidR="009B0AAE">
        <w:rPr>
          <w:color w:val="auto"/>
          <w:sz w:val="22"/>
          <w:szCs w:val="22"/>
        </w:rPr>
        <w:t>,</w:t>
      </w:r>
      <w:r w:rsidR="00CC7BF9" w:rsidRPr="667E886F">
        <w:rPr>
          <w:color w:val="auto"/>
          <w:sz w:val="22"/>
          <w:szCs w:val="22"/>
        </w:rPr>
        <w:t xml:space="preserve"> </w:t>
      </w:r>
      <w:r w:rsidR="007470D2" w:rsidRPr="667E886F">
        <w:rPr>
          <w:color w:val="auto"/>
          <w:sz w:val="22"/>
          <w:szCs w:val="22"/>
        </w:rPr>
        <w:t>CFF</w:t>
      </w:r>
      <w:r w:rsidR="15FB00EB" w:rsidRPr="667E886F">
        <w:rPr>
          <w:color w:val="auto"/>
          <w:sz w:val="22"/>
          <w:szCs w:val="22"/>
        </w:rPr>
        <w:t xml:space="preserve"> </w:t>
      </w:r>
      <w:r w:rsidR="009B0AAE">
        <w:rPr>
          <w:color w:val="auto"/>
          <w:sz w:val="22"/>
          <w:szCs w:val="22"/>
        </w:rPr>
        <w:t xml:space="preserve">and threshold </w:t>
      </w:r>
      <w:r w:rsidR="15FB00EB" w:rsidRPr="667E886F">
        <w:rPr>
          <w:color w:val="auto"/>
          <w:sz w:val="22"/>
          <w:szCs w:val="22"/>
        </w:rPr>
        <w:t>agreements</w:t>
      </w:r>
      <w:r w:rsidR="00742FB3">
        <w:rPr>
          <w:color w:val="auto"/>
          <w:sz w:val="22"/>
          <w:szCs w:val="22"/>
        </w:rPr>
        <w:t xml:space="preserve"> which have funding prior to EIF</w:t>
      </w:r>
      <w:r w:rsidR="007470D2" w:rsidRPr="667E886F">
        <w:rPr>
          <w:color w:val="auto"/>
          <w:sz w:val="22"/>
          <w:szCs w:val="22"/>
        </w:rPr>
        <w:t xml:space="preserve">, and at </w:t>
      </w:r>
      <w:r w:rsidR="003E317B">
        <w:rPr>
          <w:color w:val="auto"/>
          <w:sz w:val="22"/>
          <w:szCs w:val="22"/>
        </w:rPr>
        <w:t>entry into force (</w:t>
      </w:r>
      <w:r w:rsidR="007470D2" w:rsidRPr="667E886F">
        <w:rPr>
          <w:color w:val="auto"/>
          <w:sz w:val="22"/>
          <w:szCs w:val="22"/>
        </w:rPr>
        <w:t>EIF</w:t>
      </w:r>
      <w:r w:rsidR="003E317B">
        <w:rPr>
          <w:color w:val="auto"/>
          <w:sz w:val="22"/>
          <w:szCs w:val="22"/>
        </w:rPr>
        <w:t>)</w:t>
      </w:r>
      <w:r w:rsidR="007470D2" w:rsidRPr="667E886F">
        <w:rPr>
          <w:color w:val="auto"/>
          <w:sz w:val="22"/>
          <w:szCs w:val="22"/>
        </w:rPr>
        <w:t xml:space="preserve"> for compact funds</w:t>
      </w:r>
      <w:r w:rsidR="00742FB3">
        <w:rPr>
          <w:color w:val="auto"/>
          <w:sz w:val="22"/>
          <w:szCs w:val="22"/>
        </w:rPr>
        <w:t xml:space="preserve"> and threshold funds where funding is only made available at EIF</w:t>
      </w:r>
      <w:r w:rsidR="00CC5360" w:rsidRPr="667E886F">
        <w:rPr>
          <w:color w:val="auto"/>
          <w:sz w:val="22"/>
          <w:szCs w:val="22"/>
        </w:rPr>
        <w:t>, even if no QDRP is submitted for that quarter</w:t>
      </w:r>
      <w:r w:rsidR="00855239" w:rsidRPr="667E886F">
        <w:rPr>
          <w:color w:val="auto"/>
          <w:sz w:val="22"/>
          <w:szCs w:val="22"/>
        </w:rPr>
        <w:t xml:space="preserve">. </w:t>
      </w:r>
    </w:p>
    <w:p w14:paraId="421A3842" w14:textId="77777777" w:rsidR="0072583B" w:rsidRDefault="0072583B" w:rsidP="008D40F4">
      <w:pPr>
        <w:pStyle w:val="Default"/>
        <w:spacing w:line="259" w:lineRule="auto"/>
        <w:ind w:right="-40"/>
        <w:jc w:val="both"/>
        <w:rPr>
          <w:color w:val="auto"/>
          <w:sz w:val="22"/>
          <w:szCs w:val="22"/>
        </w:rPr>
      </w:pPr>
    </w:p>
    <w:p w14:paraId="22B1CCDB" w14:textId="2B6F1BC8" w:rsidR="002C1E61" w:rsidRPr="0026194B" w:rsidRDefault="00450413" w:rsidP="008D40F4">
      <w:pPr>
        <w:pStyle w:val="Default"/>
        <w:spacing w:line="259" w:lineRule="auto"/>
        <w:ind w:right="-40"/>
        <w:jc w:val="both"/>
        <w:rPr>
          <w:color w:val="auto"/>
          <w:sz w:val="22"/>
          <w:szCs w:val="22"/>
        </w:rPr>
      </w:pPr>
      <w:r w:rsidRPr="274612E4">
        <w:rPr>
          <w:sz w:val="22"/>
          <w:szCs w:val="22"/>
        </w:rPr>
        <w:t>While most QDRP quarters span exactly a three-month period, the length of the first and last quarters may vary</w:t>
      </w:r>
      <w:r w:rsidR="00021B3F" w:rsidRPr="274612E4">
        <w:rPr>
          <w:sz w:val="22"/>
          <w:szCs w:val="22"/>
        </w:rPr>
        <w:t xml:space="preserve"> based on the date </w:t>
      </w:r>
      <w:r w:rsidR="00B04442" w:rsidRPr="274612E4">
        <w:rPr>
          <w:sz w:val="22"/>
          <w:szCs w:val="22"/>
        </w:rPr>
        <w:t>that</w:t>
      </w:r>
      <w:r w:rsidR="00021B3F" w:rsidRPr="274612E4">
        <w:rPr>
          <w:sz w:val="22"/>
          <w:szCs w:val="22"/>
        </w:rPr>
        <w:t xml:space="preserve"> </w:t>
      </w:r>
      <w:r w:rsidR="008B50B3" w:rsidRPr="274612E4">
        <w:rPr>
          <w:sz w:val="22"/>
          <w:szCs w:val="22"/>
        </w:rPr>
        <w:t>funding</w:t>
      </w:r>
      <w:r w:rsidR="00021B3F" w:rsidRPr="274612E4">
        <w:rPr>
          <w:sz w:val="22"/>
          <w:szCs w:val="22"/>
        </w:rPr>
        <w:t xml:space="preserve"> agreement</w:t>
      </w:r>
      <w:r w:rsidR="00B04442" w:rsidRPr="274612E4">
        <w:rPr>
          <w:sz w:val="22"/>
          <w:szCs w:val="22"/>
        </w:rPr>
        <w:t>s are</w:t>
      </w:r>
      <w:r w:rsidR="00021B3F" w:rsidRPr="274612E4">
        <w:rPr>
          <w:sz w:val="22"/>
          <w:szCs w:val="22"/>
        </w:rPr>
        <w:t xml:space="preserve"> sign</w:t>
      </w:r>
      <w:r w:rsidR="00B04442" w:rsidRPr="274612E4">
        <w:rPr>
          <w:sz w:val="22"/>
          <w:szCs w:val="22"/>
        </w:rPr>
        <w:t>ed</w:t>
      </w:r>
      <w:r w:rsidR="00021B3F" w:rsidRPr="274612E4">
        <w:rPr>
          <w:sz w:val="22"/>
          <w:szCs w:val="22"/>
        </w:rPr>
        <w:t xml:space="preserve"> or EIF</w:t>
      </w:r>
      <w:r w:rsidRPr="274612E4">
        <w:rPr>
          <w:sz w:val="22"/>
          <w:szCs w:val="22"/>
        </w:rPr>
        <w:t>.</w:t>
      </w:r>
      <w:r w:rsidR="00441AF1" w:rsidRPr="274612E4">
        <w:rPr>
          <w:sz w:val="22"/>
          <w:szCs w:val="22"/>
        </w:rPr>
        <w:t xml:space="preserve"> Whether the first and last quarters are long or short depends on whether the applicable date falls before or after the mid-point in a quarter.</w:t>
      </w:r>
      <w:r w:rsidR="007B7F80" w:rsidRPr="274612E4">
        <w:rPr>
          <w:color w:val="auto"/>
          <w:sz w:val="22"/>
          <w:szCs w:val="22"/>
        </w:rPr>
        <w:t xml:space="preserve"> </w:t>
      </w:r>
      <w:r w:rsidR="00906051" w:rsidRPr="274612E4">
        <w:rPr>
          <w:color w:val="auto"/>
          <w:sz w:val="22"/>
          <w:szCs w:val="22"/>
        </w:rPr>
        <w:t xml:space="preserve">In cases where the </w:t>
      </w:r>
      <w:r w:rsidR="00246DD3" w:rsidRPr="274612E4">
        <w:rPr>
          <w:color w:val="auto"/>
          <w:sz w:val="22"/>
          <w:szCs w:val="22"/>
        </w:rPr>
        <w:t>signing</w:t>
      </w:r>
      <w:r w:rsidR="00750FDD" w:rsidRPr="274612E4">
        <w:rPr>
          <w:color w:val="auto"/>
          <w:sz w:val="22"/>
          <w:szCs w:val="22"/>
        </w:rPr>
        <w:t xml:space="preserve"> or</w:t>
      </w:r>
      <w:r w:rsidR="00DB0476" w:rsidRPr="274612E4">
        <w:rPr>
          <w:color w:val="auto"/>
          <w:sz w:val="22"/>
          <w:szCs w:val="22"/>
        </w:rPr>
        <w:t xml:space="preserve"> </w:t>
      </w:r>
      <w:r w:rsidR="00246DD3" w:rsidRPr="274612E4">
        <w:rPr>
          <w:color w:val="auto"/>
          <w:sz w:val="22"/>
          <w:szCs w:val="22"/>
        </w:rPr>
        <w:t>EIF date</w:t>
      </w:r>
      <w:r w:rsidR="00DB0476" w:rsidRPr="274612E4">
        <w:rPr>
          <w:color w:val="auto"/>
          <w:sz w:val="22"/>
          <w:szCs w:val="22"/>
        </w:rPr>
        <w:t xml:space="preserve"> </w:t>
      </w:r>
      <w:r w:rsidR="00246DD3" w:rsidRPr="274612E4">
        <w:rPr>
          <w:color w:val="auto"/>
          <w:sz w:val="22"/>
          <w:szCs w:val="22"/>
        </w:rPr>
        <w:t>leads to a long first quarter</w:t>
      </w:r>
      <w:r w:rsidR="008321B0" w:rsidRPr="274612E4">
        <w:rPr>
          <w:color w:val="auto"/>
          <w:sz w:val="22"/>
          <w:szCs w:val="22"/>
        </w:rPr>
        <w:t xml:space="preserve"> </w:t>
      </w:r>
      <w:r w:rsidR="008321B0" w:rsidRPr="274612E4">
        <w:rPr>
          <w:sz w:val="22"/>
          <w:szCs w:val="22"/>
        </w:rPr>
        <w:t xml:space="preserve">(i.e. </w:t>
      </w:r>
      <w:r w:rsidR="726A2B98" w:rsidRPr="274612E4">
        <w:rPr>
          <w:sz w:val="22"/>
          <w:szCs w:val="22"/>
        </w:rPr>
        <w:t xml:space="preserve">funding agreement </w:t>
      </w:r>
      <w:r w:rsidR="008321B0" w:rsidRPr="274612E4">
        <w:rPr>
          <w:sz w:val="22"/>
          <w:szCs w:val="22"/>
        </w:rPr>
        <w:t>signing</w:t>
      </w:r>
      <w:r w:rsidR="00AA6333" w:rsidRPr="274612E4">
        <w:rPr>
          <w:sz w:val="22"/>
          <w:szCs w:val="22"/>
        </w:rPr>
        <w:t xml:space="preserve"> or</w:t>
      </w:r>
      <w:r w:rsidR="00FE2C83" w:rsidRPr="274612E4">
        <w:rPr>
          <w:sz w:val="22"/>
          <w:szCs w:val="22"/>
        </w:rPr>
        <w:t xml:space="preserve"> </w:t>
      </w:r>
      <w:r w:rsidR="008321B0" w:rsidRPr="274612E4">
        <w:rPr>
          <w:sz w:val="22"/>
          <w:szCs w:val="22"/>
        </w:rPr>
        <w:t xml:space="preserve">EIF August 16 </w:t>
      </w:r>
      <w:r w:rsidR="00405410" w:rsidRPr="274612E4">
        <w:rPr>
          <w:sz w:val="22"/>
          <w:szCs w:val="22"/>
        </w:rPr>
        <w:t>to</w:t>
      </w:r>
      <w:r w:rsidR="008321B0" w:rsidRPr="274612E4">
        <w:rPr>
          <w:sz w:val="22"/>
          <w:szCs w:val="22"/>
        </w:rPr>
        <w:t xml:space="preserve"> September 30; November 16 </w:t>
      </w:r>
      <w:r w:rsidR="00405410" w:rsidRPr="274612E4">
        <w:rPr>
          <w:sz w:val="22"/>
          <w:szCs w:val="22"/>
        </w:rPr>
        <w:t>to</w:t>
      </w:r>
      <w:r w:rsidR="008321B0" w:rsidRPr="274612E4">
        <w:rPr>
          <w:sz w:val="22"/>
          <w:szCs w:val="22"/>
        </w:rPr>
        <w:t xml:space="preserve"> December 31, February 14 </w:t>
      </w:r>
      <w:r w:rsidR="00405410" w:rsidRPr="274612E4">
        <w:rPr>
          <w:sz w:val="22"/>
          <w:szCs w:val="22"/>
        </w:rPr>
        <w:t>to</w:t>
      </w:r>
      <w:r w:rsidR="008321B0" w:rsidRPr="274612E4">
        <w:rPr>
          <w:sz w:val="22"/>
          <w:szCs w:val="22"/>
        </w:rPr>
        <w:t xml:space="preserve"> March 31, or May 16 </w:t>
      </w:r>
      <w:r w:rsidR="00405410" w:rsidRPr="274612E4">
        <w:rPr>
          <w:sz w:val="22"/>
          <w:szCs w:val="22"/>
        </w:rPr>
        <w:t>to</w:t>
      </w:r>
      <w:r w:rsidR="008321B0" w:rsidRPr="274612E4">
        <w:rPr>
          <w:sz w:val="22"/>
          <w:szCs w:val="22"/>
        </w:rPr>
        <w:t xml:space="preserve"> June 30)</w:t>
      </w:r>
      <w:r w:rsidR="00246DD3" w:rsidRPr="274612E4">
        <w:rPr>
          <w:color w:val="auto"/>
          <w:sz w:val="22"/>
          <w:szCs w:val="22"/>
        </w:rPr>
        <w:t xml:space="preserve">, </w:t>
      </w:r>
      <w:r w:rsidR="003803A3" w:rsidRPr="274612E4">
        <w:rPr>
          <w:color w:val="auto"/>
          <w:sz w:val="22"/>
          <w:szCs w:val="22"/>
        </w:rPr>
        <w:t xml:space="preserve">the first quarter will span from the </w:t>
      </w:r>
      <w:r w:rsidR="41F822B5" w:rsidRPr="274612E4">
        <w:rPr>
          <w:color w:val="auto"/>
          <w:sz w:val="22"/>
          <w:szCs w:val="22"/>
        </w:rPr>
        <w:t xml:space="preserve">funding agreement </w:t>
      </w:r>
      <w:r w:rsidR="003803A3" w:rsidRPr="274612E4">
        <w:rPr>
          <w:color w:val="auto"/>
          <w:sz w:val="22"/>
          <w:szCs w:val="22"/>
        </w:rPr>
        <w:t>signing</w:t>
      </w:r>
      <w:r w:rsidR="0066477A" w:rsidRPr="274612E4">
        <w:rPr>
          <w:color w:val="auto"/>
          <w:sz w:val="22"/>
          <w:szCs w:val="22"/>
        </w:rPr>
        <w:t xml:space="preserve"> </w:t>
      </w:r>
      <w:r w:rsidR="008F19AB" w:rsidRPr="274612E4">
        <w:rPr>
          <w:color w:val="auto"/>
          <w:sz w:val="22"/>
          <w:szCs w:val="22"/>
        </w:rPr>
        <w:t>or</w:t>
      </w:r>
      <w:r w:rsidR="003A7AB6" w:rsidRPr="274612E4">
        <w:rPr>
          <w:color w:val="auto"/>
          <w:sz w:val="22"/>
          <w:szCs w:val="22"/>
        </w:rPr>
        <w:t xml:space="preserve"> </w:t>
      </w:r>
      <w:r w:rsidR="003803A3" w:rsidRPr="274612E4">
        <w:rPr>
          <w:color w:val="auto"/>
          <w:sz w:val="22"/>
          <w:szCs w:val="22"/>
        </w:rPr>
        <w:t>EIF</w:t>
      </w:r>
      <w:r w:rsidR="003A7AB6" w:rsidRPr="274612E4">
        <w:rPr>
          <w:color w:val="auto"/>
          <w:sz w:val="22"/>
          <w:szCs w:val="22"/>
        </w:rPr>
        <w:t xml:space="preserve"> </w:t>
      </w:r>
      <w:r w:rsidR="003803A3" w:rsidRPr="274612E4">
        <w:rPr>
          <w:color w:val="auto"/>
          <w:sz w:val="22"/>
          <w:szCs w:val="22"/>
        </w:rPr>
        <w:t>date</w:t>
      </w:r>
      <w:r w:rsidR="00793C83" w:rsidRPr="274612E4">
        <w:rPr>
          <w:color w:val="auto"/>
          <w:sz w:val="22"/>
          <w:szCs w:val="22"/>
        </w:rPr>
        <w:t xml:space="preserve"> </w:t>
      </w:r>
      <w:r w:rsidR="003803A3" w:rsidRPr="274612E4">
        <w:rPr>
          <w:color w:val="auto"/>
          <w:sz w:val="22"/>
          <w:szCs w:val="22"/>
        </w:rPr>
        <w:t xml:space="preserve">through the end of the </w:t>
      </w:r>
      <w:r w:rsidR="00056E76" w:rsidRPr="274612E4">
        <w:rPr>
          <w:color w:val="auto"/>
          <w:sz w:val="22"/>
          <w:szCs w:val="22"/>
        </w:rPr>
        <w:t>next</w:t>
      </w:r>
      <w:r w:rsidR="003803A3" w:rsidRPr="274612E4">
        <w:rPr>
          <w:color w:val="auto"/>
          <w:sz w:val="22"/>
          <w:szCs w:val="22"/>
        </w:rPr>
        <w:t xml:space="preserve"> quarter. In cases where there is a short first quarter, </w:t>
      </w:r>
      <w:r w:rsidR="00B1528F" w:rsidRPr="274612E4">
        <w:rPr>
          <w:color w:val="auto"/>
          <w:sz w:val="22"/>
          <w:szCs w:val="22"/>
        </w:rPr>
        <w:t xml:space="preserve">the first quarter will extend from the </w:t>
      </w:r>
      <w:r w:rsidR="02E155C7" w:rsidRPr="274612E4">
        <w:rPr>
          <w:color w:val="auto"/>
          <w:sz w:val="22"/>
          <w:szCs w:val="22"/>
        </w:rPr>
        <w:t xml:space="preserve">funding agreement </w:t>
      </w:r>
      <w:r w:rsidR="00B1528F" w:rsidRPr="274612E4">
        <w:rPr>
          <w:color w:val="auto"/>
          <w:sz w:val="22"/>
          <w:szCs w:val="22"/>
        </w:rPr>
        <w:t>signing</w:t>
      </w:r>
      <w:r w:rsidR="00750FDD" w:rsidRPr="274612E4">
        <w:rPr>
          <w:color w:val="auto"/>
          <w:sz w:val="22"/>
          <w:szCs w:val="22"/>
        </w:rPr>
        <w:t xml:space="preserve"> or</w:t>
      </w:r>
      <w:r w:rsidR="007E6C90" w:rsidRPr="274612E4">
        <w:rPr>
          <w:color w:val="auto"/>
          <w:sz w:val="22"/>
          <w:szCs w:val="22"/>
        </w:rPr>
        <w:t xml:space="preserve"> </w:t>
      </w:r>
      <w:r w:rsidR="00B1528F" w:rsidRPr="274612E4">
        <w:rPr>
          <w:color w:val="auto"/>
          <w:sz w:val="22"/>
          <w:szCs w:val="22"/>
        </w:rPr>
        <w:t xml:space="preserve">EIF date through the end of the current quarter. </w:t>
      </w:r>
      <w:r w:rsidR="001E1139" w:rsidRPr="274612E4">
        <w:rPr>
          <w:color w:val="auto"/>
          <w:sz w:val="22"/>
          <w:szCs w:val="22"/>
        </w:rPr>
        <w:t>For instance, if a compact EIF</w:t>
      </w:r>
      <w:r w:rsidR="574108A3" w:rsidRPr="274612E4">
        <w:rPr>
          <w:color w:val="auto"/>
          <w:sz w:val="22"/>
          <w:szCs w:val="22"/>
        </w:rPr>
        <w:t xml:space="preserve"> date </w:t>
      </w:r>
      <w:r w:rsidR="0396188B" w:rsidRPr="274612E4">
        <w:rPr>
          <w:color w:val="auto"/>
          <w:sz w:val="22"/>
          <w:szCs w:val="22"/>
        </w:rPr>
        <w:t>is</w:t>
      </w:r>
      <w:r w:rsidR="001E1139" w:rsidRPr="274612E4">
        <w:rPr>
          <w:color w:val="auto"/>
          <w:sz w:val="22"/>
          <w:szCs w:val="22"/>
        </w:rPr>
        <w:t xml:space="preserve"> </w:t>
      </w:r>
      <w:r w:rsidR="007B1EB1" w:rsidRPr="274612E4">
        <w:rPr>
          <w:color w:val="auto"/>
          <w:sz w:val="22"/>
          <w:szCs w:val="22"/>
        </w:rPr>
        <w:t xml:space="preserve">August </w:t>
      </w:r>
      <w:r w:rsidR="00B46C26" w:rsidRPr="274612E4">
        <w:rPr>
          <w:color w:val="auto"/>
          <w:sz w:val="22"/>
          <w:szCs w:val="22"/>
        </w:rPr>
        <w:t xml:space="preserve">21, the first quarter will span from August 21 </w:t>
      </w:r>
      <w:r w:rsidR="009348AB" w:rsidRPr="274612E4">
        <w:rPr>
          <w:color w:val="auto"/>
          <w:sz w:val="22"/>
          <w:szCs w:val="22"/>
        </w:rPr>
        <w:t>to</w:t>
      </w:r>
      <w:r w:rsidR="00B46C26" w:rsidRPr="274612E4">
        <w:rPr>
          <w:color w:val="auto"/>
          <w:sz w:val="22"/>
          <w:szCs w:val="22"/>
        </w:rPr>
        <w:t xml:space="preserve"> December 31, whereas if </w:t>
      </w:r>
      <w:r w:rsidR="5484B215" w:rsidRPr="274612E4">
        <w:rPr>
          <w:color w:val="auto"/>
          <w:sz w:val="22"/>
          <w:szCs w:val="22"/>
        </w:rPr>
        <w:t>the</w:t>
      </w:r>
      <w:r w:rsidR="00B46C26" w:rsidRPr="274612E4">
        <w:rPr>
          <w:color w:val="auto"/>
          <w:sz w:val="22"/>
          <w:szCs w:val="22"/>
        </w:rPr>
        <w:t xml:space="preserve"> EIF</w:t>
      </w:r>
      <w:r w:rsidR="19E0D19F" w:rsidRPr="274612E4">
        <w:rPr>
          <w:color w:val="auto"/>
          <w:sz w:val="22"/>
          <w:szCs w:val="22"/>
        </w:rPr>
        <w:t xml:space="preserve"> date</w:t>
      </w:r>
      <w:r w:rsidR="55853FFA" w:rsidRPr="274612E4">
        <w:rPr>
          <w:color w:val="auto"/>
          <w:sz w:val="22"/>
          <w:szCs w:val="22"/>
        </w:rPr>
        <w:t xml:space="preserve"> </w:t>
      </w:r>
      <w:r w:rsidR="63B4B195" w:rsidRPr="274612E4">
        <w:rPr>
          <w:color w:val="auto"/>
          <w:sz w:val="22"/>
          <w:szCs w:val="22"/>
        </w:rPr>
        <w:t>is</w:t>
      </w:r>
      <w:r w:rsidR="00B46C26" w:rsidRPr="274612E4">
        <w:rPr>
          <w:color w:val="auto"/>
          <w:sz w:val="22"/>
          <w:szCs w:val="22"/>
        </w:rPr>
        <w:t xml:space="preserve"> August </w:t>
      </w:r>
      <w:r w:rsidR="004B2018" w:rsidRPr="274612E4">
        <w:rPr>
          <w:color w:val="auto"/>
          <w:sz w:val="22"/>
          <w:szCs w:val="22"/>
        </w:rPr>
        <w:t xml:space="preserve">5, the first quarter will span from August 5 </w:t>
      </w:r>
      <w:r w:rsidR="009348AB" w:rsidRPr="274612E4">
        <w:rPr>
          <w:color w:val="auto"/>
          <w:sz w:val="22"/>
          <w:szCs w:val="22"/>
        </w:rPr>
        <w:t>to</w:t>
      </w:r>
      <w:r w:rsidR="004B2018" w:rsidRPr="274612E4">
        <w:rPr>
          <w:color w:val="auto"/>
          <w:sz w:val="22"/>
          <w:szCs w:val="22"/>
        </w:rPr>
        <w:t xml:space="preserve"> September 30. </w:t>
      </w:r>
    </w:p>
    <w:p w14:paraId="74CF224E" w14:textId="77777777" w:rsidR="002C1E61" w:rsidRPr="0026194B" w:rsidRDefault="002C1E61" w:rsidP="008D40F4">
      <w:pPr>
        <w:pStyle w:val="Default"/>
        <w:ind w:right="-40"/>
        <w:jc w:val="both"/>
        <w:rPr>
          <w:color w:val="auto"/>
          <w:sz w:val="22"/>
          <w:szCs w:val="22"/>
        </w:rPr>
      </w:pPr>
    </w:p>
    <w:p w14:paraId="5475EF58" w14:textId="77777777" w:rsidR="00E821C9" w:rsidRPr="0026194B" w:rsidRDefault="003A6A5F" w:rsidP="008D40F4">
      <w:pPr>
        <w:pStyle w:val="Default"/>
        <w:ind w:right="-40"/>
        <w:jc w:val="both"/>
        <w:rPr>
          <w:color w:val="auto"/>
          <w:sz w:val="22"/>
          <w:szCs w:val="22"/>
        </w:rPr>
      </w:pPr>
      <w:r w:rsidRPr="667E886F">
        <w:rPr>
          <w:sz w:val="22"/>
          <w:szCs w:val="22"/>
        </w:rPr>
        <w:t xml:space="preserve">While </w:t>
      </w:r>
      <w:r w:rsidR="087427C8" w:rsidRPr="667E886F">
        <w:rPr>
          <w:sz w:val="22"/>
          <w:szCs w:val="22"/>
        </w:rPr>
        <w:t xml:space="preserve">the first quarter of a funding type </w:t>
      </w:r>
      <w:r w:rsidRPr="667E886F">
        <w:rPr>
          <w:sz w:val="22"/>
          <w:szCs w:val="22"/>
        </w:rPr>
        <w:t xml:space="preserve">starts </w:t>
      </w:r>
      <w:r w:rsidR="00100D22" w:rsidRPr="667E886F">
        <w:rPr>
          <w:sz w:val="22"/>
          <w:szCs w:val="22"/>
        </w:rPr>
        <w:t>as outlined above</w:t>
      </w:r>
      <w:r w:rsidRPr="667E886F">
        <w:rPr>
          <w:sz w:val="22"/>
          <w:szCs w:val="22"/>
        </w:rPr>
        <w:t xml:space="preserve">, </w:t>
      </w:r>
      <w:r w:rsidR="61CE768F" w:rsidRPr="667E886F">
        <w:rPr>
          <w:sz w:val="22"/>
          <w:szCs w:val="22"/>
        </w:rPr>
        <w:t xml:space="preserve">the AE is only required to submit </w:t>
      </w:r>
      <w:r w:rsidR="3E9413CF" w:rsidRPr="667E886F">
        <w:rPr>
          <w:sz w:val="22"/>
          <w:szCs w:val="22"/>
        </w:rPr>
        <w:t xml:space="preserve">a </w:t>
      </w:r>
      <w:r w:rsidR="007D7938" w:rsidRPr="667E886F">
        <w:rPr>
          <w:sz w:val="22"/>
          <w:szCs w:val="22"/>
        </w:rPr>
        <w:t xml:space="preserve">QDRP </w:t>
      </w:r>
      <w:r w:rsidR="1713E374" w:rsidRPr="667E886F">
        <w:rPr>
          <w:sz w:val="22"/>
          <w:szCs w:val="22"/>
        </w:rPr>
        <w:t>when certain</w:t>
      </w:r>
      <w:r w:rsidR="009251D1">
        <w:rPr>
          <w:sz w:val="22"/>
          <w:szCs w:val="22"/>
        </w:rPr>
        <w:t xml:space="preserve"> </w:t>
      </w:r>
      <w:r w:rsidR="002D32C9" w:rsidRPr="667E886F">
        <w:rPr>
          <w:sz w:val="22"/>
          <w:szCs w:val="22"/>
        </w:rPr>
        <w:t>milestones</w:t>
      </w:r>
      <w:r w:rsidR="15715A51" w:rsidRPr="667E886F">
        <w:rPr>
          <w:sz w:val="22"/>
          <w:szCs w:val="22"/>
        </w:rPr>
        <w:t xml:space="preserve"> are </w:t>
      </w:r>
      <w:r w:rsidR="00B155A6">
        <w:rPr>
          <w:sz w:val="22"/>
          <w:szCs w:val="22"/>
        </w:rPr>
        <w:t>reached</w:t>
      </w:r>
      <w:r w:rsidR="009251D1">
        <w:rPr>
          <w:sz w:val="22"/>
          <w:szCs w:val="22"/>
        </w:rPr>
        <w:t>,</w:t>
      </w:r>
      <w:r w:rsidR="15715A51" w:rsidRPr="667E886F">
        <w:rPr>
          <w:sz w:val="22"/>
          <w:szCs w:val="22"/>
        </w:rPr>
        <w:t xml:space="preserve"> as</w:t>
      </w:r>
      <w:r w:rsidR="00680649" w:rsidRPr="667E886F">
        <w:rPr>
          <w:sz w:val="22"/>
          <w:szCs w:val="22"/>
        </w:rPr>
        <w:t xml:space="preserve"> outlined in Table 1 below. </w:t>
      </w:r>
      <w:r w:rsidR="00E821C9" w:rsidRPr="0026194B">
        <w:rPr>
          <w:color w:val="auto"/>
          <w:sz w:val="22"/>
          <w:szCs w:val="22"/>
        </w:rPr>
        <w:t xml:space="preserve">In cases where the AE reaches the milestone shown in Table 1 but is not yet ready to request funding, they are still required to submit a non-financial QDRP, in accordance with the requirements laid out in the QDRP guidance. </w:t>
      </w:r>
    </w:p>
    <w:p w14:paraId="227FEE22" w14:textId="77777777" w:rsidR="00E821C9" w:rsidRDefault="00E821C9" w:rsidP="008D40F4">
      <w:pPr>
        <w:pStyle w:val="FootnoteText"/>
        <w:spacing w:line="259" w:lineRule="auto"/>
        <w:jc w:val="both"/>
        <w:rPr>
          <w:sz w:val="22"/>
          <w:szCs w:val="22"/>
        </w:rPr>
      </w:pPr>
    </w:p>
    <w:p w14:paraId="19D70F15" w14:textId="0302EE63" w:rsidR="007D7938" w:rsidRPr="00670EB3" w:rsidRDefault="00670EB3" w:rsidP="008D40F4">
      <w:pPr>
        <w:pStyle w:val="FootnoteText"/>
        <w:spacing w:line="259" w:lineRule="auto"/>
        <w:jc w:val="both"/>
        <w:rPr>
          <w:sz w:val="22"/>
          <w:szCs w:val="22"/>
        </w:rPr>
      </w:pPr>
      <w:r w:rsidRPr="667E886F">
        <w:rPr>
          <w:sz w:val="22"/>
          <w:szCs w:val="22"/>
        </w:rPr>
        <w:t xml:space="preserve">Note that </w:t>
      </w:r>
      <w:r w:rsidR="0033671C">
        <w:rPr>
          <w:sz w:val="22"/>
          <w:szCs w:val="22"/>
        </w:rPr>
        <w:t xml:space="preserve">the timing below represents the latest time the first QDRP should be submitted; </w:t>
      </w:r>
      <w:r w:rsidRPr="667E886F">
        <w:rPr>
          <w:sz w:val="22"/>
          <w:szCs w:val="22"/>
        </w:rPr>
        <w:t>should the AE require disbursement</w:t>
      </w:r>
      <w:r w:rsidR="7566F9D7" w:rsidRPr="667E886F">
        <w:rPr>
          <w:sz w:val="22"/>
          <w:szCs w:val="22"/>
        </w:rPr>
        <w:t xml:space="preserve"> authority prior to meeting these milestones</w:t>
      </w:r>
      <w:r w:rsidRPr="667E886F">
        <w:rPr>
          <w:sz w:val="22"/>
          <w:szCs w:val="22"/>
        </w:rPr>
        <w:t xml:space="preserve">, it may </w:t>
      </w:r>
      <w:r w:rsidR="002C2F1F" w:rsidRPr="667E886F">
        <w:rPr>
          <w:sz w:val="22"/>
          <w:szCs w:val="22"/>
        </w:rPr>
        <w:t>submit</w:t>
      </w:r>
      <w:r w:rsidRPr="667E886F">
        <w:rPr>
          <w:sz w:val="22"/>
          <w:szCs w:val="22"/>
        </w:rPr>
        <w:t xml:space="preserve"> a QDRP</w:t>
      </w:r>
      <w:r w:rsidR="00A86B62">
        <w:rPr>
          <w:sz w:val="22"/>
          <w:szCs w:val="22"/>
        </w:rPr>
        <w:t xml:space="preserve"> at that time</w:t>
      </w:r>
      <w:r w:rsidRPr="667E886F">
        <w:rPr>
          <w:sz w:val="22"/>
          <w:szCs w:val="22"/>
        </w:rPr>
        <w:t>.</w:t>
      </w:r>
    </w:p>
    <w:p w14:paraId="17085322" w14:textId="47048C61" w:rsidR="003A3F2F" w:rsidRDefault="003A3F2F" w:rsidP="008D40F4">
      <w:pPr>
        <w:pStyle w:val="Default"/>
        <w:ind w:right="-40"/>
        <w:jc w:val="both"/>
        <w:rPr>
          <w:color w:val="auto"/>
          <w:sz w:val="22"/>
          <w:szCs w:val="22"/>
        </w:rPr>
      </w:pPr>
    </w:p>
    <w:p w14:paraId="06D0E938" w14:textId="101BF974" w:rsidR="00E82E84" w:rsidRPr="0026194B" w:rsidRDefault="00E82E84" w:rsidP="008D40F4">
      <w:pPr>
        <w:pStyle w:val="Default"/>
        <w:ind w:right="-40"/>
        <w:jc w:val="both"/>
        <w:rPr>
          <w:b/>
          <w:bCs/>
          <w:color w:val="auto"/>
          <w:sz w:val="22"/>
          <w:szCs w:val="22"/>
        </w:rPr>
      </w:pPr>
      <w:r w:rsidRPr="0026194B">
        <w:rPr>
          <w:b/>
          <w:bCs/>
          <w:color w:val="auto"/>
          <w:sz w:val="22"/>
          <w:szCs w:val="22"/>
        </w:rPr>
        <w:t>Table 1</w:t>
      </w:r>
    </w:p>
    <w:tbl>
      <w:tblPr>
        <w:tblStyle w:val="GridTable1Light-Accent1"/>
        <w:tblW w:w="9467" w:type="dxa"/>
        <w:tblLook w:val="04A0" w:firstRow="1" w:lastRow="0" w:firstColumn="1" w:lastColumn="0" w:noHBand="0" w:noVBand="1"/>
      </w:tblPr>
      <w:tblGrid>
        <w:gridCol w:w="1876"/>
        <w:gridCol w:w="3789"/>
        <w:gridCol w:w="3802"/>
      </w:tblGrid>
      <w:tr w:rsidR="00623FFA" w:rsidRPr="0026194B" w14:paraId="2D27D9A7" w14:textId="77777777" w:rsidTr="405C4E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6" w:type="dxa"/>
          </w:tcPr>
          <w:p w14:paraId="169355C6" w14:textId="4C0966B5" w:rsidR="00623FFA" w:rsidRPr="0026194B" w:rsidRDefault="00623FFA" w:rsidP="008D40F4">
            <w:pPr>
              <w:pStyle w:val="Default"/>
              <w:ind w:right="-40"/>
              <w:jc w:val="both"/>
              <w:rPr>
                <w:color w:val="auto"/>
                <w:sz w:val="22"/>
                <w:szCs w:val="22"/>
              </w:rPr>
            </w:pPr>
            <w:r w:rsidRPr="0026194B">
              <w:rPr>
                <w:color w:val="auto"/>
                <w:sz w:val="22"/>
                <w:szCs w:val="22"/>
              </w:rPr>
              <w:t>Fund</w:t>
            </w:r>
          </w:p>
        </w:tc>
        <w:tc>
          <w:tcPr>
            <w:tcW w:w="3789" w:type="dxa"/>
          </w:tcPr>
          <w:p w14:paraId="057E1BB1" w14:textId="187799EC" w:rsidR="00623FFA" w:rsidRPr="0026194B" w:rsidRDefault="00623FFA" w:rsidP="008D40F4">
            <w:pPr>
              <w:pStyle w:val="Default"/>
              <w:ind w:right="-40"/>
              <w:jc w:val="both"/>
              <w:cnfStyle w:val="100000000000" w:firstRow="1" w:lastRow="0" w:firstColumn="0" w:lastColumn="0" w:oddVBand="0" w:evenVBand="0" w:oddHBand="0" w:evenHBand="0" w:firstRowFirstColumn="0" w:firstRowLastColumn="0" w:lastRowFirstColumn="0" w:lastRowLastColumn="0"/>
              <w:rPr>
                <w:color w:val="auto"/>
                <w:sz w:val="22"/>
                <w:szCs w:val="22"/>
              </w:rPr>
            </w:pPr>
            <w:r w:rsidRPr="0026194B">
              <w:rPr>
                <w:color w:val="auto"/>
                <w:sz w:val="22"/>
                <w:szCs w:val="22"/>
              </w:rPr>
              <w:t>Timing of</w:t>
            </w:r>
            <w:r w:rsidR="00B8583F">
              <w:rPr>
                <w:color w:val="auto"/>
                <w:sz w:val="22"/>
                <w:szCs w:val="22"/>
              </w:rPr>
              <w:t xml:space="preserve"> the</w:t>
            </w:r>
            <w:r w:rsidRPr="0026194B">
              <w:rPr>
                <w:color w:val="auto"/>
                <w:sz w:val="22"/>
                <w:szCs w:val="22"/>
              </w:rPr>
              <w:t xml:space="preserve"> first </w:t>
            </w:r>
            <w:r w:rsidR="00462B31" w:rsidRPr="002B6D9A">
              <w:rPr>
                <w:i/>
                <w:iCs/>
                <w:color w:val="auto"/>
                <w:sz w:val="22"/>
                <w:szCs w:val="22"/>
              </w:rPr>
              <w:t>required</w:t>
            </w:r>
            <w:r w:rsidR="00462B31">
              <w:rPr>
                <w:color w:val="auto"/>
                <w:sz w:val="22"/>
                <w:szCs w:val="22"/>
              </w:rPr>
              <w:t xml:space="preserve"> </w:t>
            </w:r>
            <w:r w:rsidRPr="0026194B">
              <w:rPr>
                <w:color w:val="auto"/>
                <w:sz w:val="22"/>
                <w:szCs w:val="22"/>
              </w:rPr>
              <w:t>QDRP submission</w:t>
            </w:r>
          </w:p>
        </w:tc>
        <w:tc>
          <w:tcPr>
            <w:tcW w:w="3802" w:type="dxa"/>
          </w:tcPr>
          <w:p w14:paraId="2D4E584F" w14:textId="21C7AEBB" w:rsidR="00623FFA" w:rsidRPr="0026194B" w:rsidRDefault="000352CB" w:rsidP="008D40F4">
            <w:pPr>
              <w:pStyle w:val="Default"/>
              <w:ind w:right="-40"/>
              <w:jc w:val="both"/>
              <w:cnfStyle w:val="100000000000" w:firstRow="1" w:lastRow="0" w:firstColumn="0" w:lastColumn="0" w:oddVBand="0" w:evenVBand="0" w:oddHBand="0" w:evenHBand="0" w:firstRowFirstColumn="0" w:firstRowLastColumn="0" w:lastRowFirstColumn="0" w:lastRowLastColumn="0"/>
              <w:rPr>
                <w:color w:val="auto"/>
                <w:sz w:val="22"/>
                <w:szCs w:val="22"/>
              </w:rPr>
            </w:pPr>
            <w:r w:rsidRPr="0026194B">
              <w:rPr>
                <w:color w:val="auto"/>
                <w:sz w:val="22"/>
                <w:szCs w:val="22"/>
              </w:rPr>
              <w:t>Timing of</w:t>
            </w:r>
            <w:r w:rsidR="00B8583F">
              <w:rPr>
                <w:color w:val="auto"/>
                <w:sz w:val="22"/>
                <w:szCs w:val="22"/>
              </w:rPr>
              <w:t xml:space="preserve"> the</w:t>
            </w:r>
            <w:r w:rsidRPr="0026194B">
              <w:rPr>
                <w:color w:val="auto"/>
                <w:sz w:val="22"/>
                <w:szCs w:val="22"/>
              </w:rPr>
              <w:t xml:space="preserve"> last QDRP submission </w:t>
            </w:r>
            <w:r w:rsidR="00623FFA" w:rsidRPr="0026194B">
              <w:rPr>
                <w:color w:val="auto"/>
                <w:sz w:val="22"/>
                <w:szCs w:val="22"/>
              </w:rPr>
              <w:t xml:space="preserve"> </w:t>
            </w:r>
          </w:p>
        </w:tc>
      </w:tr>
      <w:tr w:rsidR="00623FFA" w:rsidRPr="0026194B" w14:paraId="61B5036A" w14:textId="77777777" w:rsidTr="405C4E9A">
        <w:tc>
          <w:tcPr>
            <w:cnfStyle w:val="001000000000" w:firstRow="0" w:lastRow="0" w:firstColumn="1" w:lastColumn="0" w:oddVBand="0" w:evenVBand="0" w:oddHBand="0" w:evenHBand="0" w:firstRowFirstColumn="0" w:firstRowLastColumn="0" w:lastRowFirstColumn="0" w:lastRowLastColumn="0"/>
            <w:tcW w:w="1876" w:type="dxa"/>
          </w:tcPr>
          <w:p w14:paraId="6CD5AE50" w14:textId="5D196016" w:rsidR="00623FFA" w:rsidRPr="0026194B" w:rsidRDefault="00623FFA" w:rsidP="008D40F4">
            <w:pPr>
              <w:pStyle w:val="Default"/>
              <w:ind w:right="-40"/>
              <w:jc w:val="both"/>
              <w:rPr>
                <w:color w:val="auto"/>
                <w:sz w:val="22"/>
                <w:szCs w:val="22"/>
              </w:rPr>
            </w:pPr>
            <w:r w:rsidRPr="0026194B">
              <w:rPr>
                <w:color w:val="auto"/>
                <w:sz w:val="22"/>
                <w:szCs w:val="22"/>
              </w:rPr>
              <w:t>CDF</w:t>
            </w:r>
          </w:p>
        </w:tc>
        <w:tc>
          <w:tcPr>
            <w:tcW w:w="3789" w:type="dxa"/>
          </w:tcPr>
          <w:p w14:paraId="18CFD019" w14:textId="59F79BB1" w:rsidR="00623FFA" w:rsidRPr="0026194B" w:rsidRDefault="00F511B6" w:rsidP="008D40F4">
            <w:pPr>
              <w:pStyle w:val="Default"/>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7338ADD8">
              <w:rPr>
                <w:color w:val="auto"/>
                <w:sz w:val="22"/>
                <w:szCs w:val="22"/>
              </w:rPr>
              <w:t>T</w:t>
            </w:r>
            <w:r w:rsidR="006663D1" w:rsidRPr="7338ADD8">
              <w:rPr>
                <w:color w:val="auto"/>
                <w:sz w:val="22"/>
                <w:szCs w:val="22"/>
              </w:rPr>
              <w:t xml:space="preserve">he </w:t>
            </w:r>
            <w:r w:rsidR="006D12CC">
              <w:rPr>
                <w:color w:val="auto"/>
                <w:sz w:val="22"/>
                <w:szCs w:val="22"/>
              </w:rPr>
              <w:t>quarter</w:t>
            </w:r>
            <w:r w:rsidR="00CD4DF9">
              <w:rPr>
                <w:color w:val="auto"/>
                <w:sz w:val="22"/>
                <w:szCs w:val="22"/>
              </w:rPr>
              <w:t xml:space="preserve"> </w:t>
            </w:r>
            <w:r w:rsidR="00821615" w:rsidRPr="7338ADD8">
              <w:rPr>
                <w:color w:val="auto"/>
                <w:sz w:val="22"/>
                <w:szCs w:val="22"/>
              </w:rPr>
              <w:t>after</w:t>
            </w:r>
            <w:r w:rsidR="006663D1" w:rsidRPr="7338ADD8">
              <w:rPr>
                <w:color w:val="auto"/>
                <w:sz w:val="22"/>
                <w:szCs w:val="22"/>
              </w:rPr>
              <w:t xml:space="preserve"> </w:t>
            </w:r>
            <w:r w:rsidR="00623FFA" w:rsidRPr="7338ADD8">
              <w:rPr>
                <w:color w:val="auto"/>
                <w:sz w:val="22"/>
                <w:szCs w:val="22"/>
              </w:rPr>
              <w:t xml:space="preserve">the AE submits its first Procurement </w:t>
            </w:r>
            <w:r w:rsidR="56D805F5" w:rsidRPr="7338ADD8">
              <w:rPr>
                <w:color w:val="auto"/>
                <w:sz w:val="22"/>
                <w:szCs w:val="22"/>
              </w:rPr>
              <w:t xml:space="preserve">and Grants </w:t>
            </w:r>
            <w:r w:rsidR="009977FA">
              <w:rPr>
                <w:color w:val="auto"/>
                <w:sz w:val="22"/>
                <w:szCs w:val="22"/>
              </w:rPr>
              <w:t xml:space="preserve">Plan </w:t>
            </w:r>
            <w:r w:rsidR="56D805F5" w:rsidRPr="7338ADD8">
              <w:rPr>
                <w:color w:val="auto"/>
                <w:sz w:val="22"/>
                <w:szCs w:val="22"/>
              </w:rPr>
              <w:t>Package</w:t>
            </w:r>
            <w:r w:rsidR="00623FFA" w:rsidRPr="7338ADD8">
              <w:rPr>
                <w:color w:val="auto"/>
                <w:sz w:val="22"/>
                <w:szCs w:val="22"/>
              </w:rPr>
              <w:t xml:space="preserve"> </w:t>
            </w:r>
          </w:p>
        </w:tc>
        <w:tc>
          <w:tcPr>
            <w:tcW w:w="3802" w:type="dxa"/>
          </w:tcPr>
          <w:p w14:paraId="5C8D1A50" w14:textId="0419041D" w:rsidR="00623FFA" w:rsidRPr="0026194B" w:rsidRDefault="000352CB" w:rsidP="008D40F4">
            <w:pPr>
              <w:pStyle w:val="Default"/>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26194B">
              <w:rPr>
                <w:color w:val="auto"/>
                <w:sz w:val="22"/>
                <w:szCs w:val="22"/>
              </w:rPr>
              <w:t>When</w:t>
            </w:r>
            <w:r w:rsidR="00623FFA" w:rsidRPr="0026194B">
              <w:rPr>
                <w:color w:val="auto"/>
                <w:sz w:val="22"/>
                <w:szCs w:val="22"/>
              </w:rPr>
              <w:t xml:space="preserve"> the funds are exhausted</w:t>
            </w:r>
            <w:r w:rsidR="00BD2079" w:rsidRPr="0026194B">
              <w:rPr>
                <w:color w:val="auto"/>
                <w:sz w:val="22"/>
                <w:szCs w:val="22"/>
              </w:rPr>
              <w:t xml:space="preserve"> or the </w:t>
            </w:r>
            <w:r w:rsidR="00F27747">
              <w:rPr>
                <w:color w:val="auto"/>
                <w:sz w:val="22"/>
                <w:szCs w:val="22"/>
              </w:rPr>
              <w:t>quarter in which</w:t>
            </w:r>
            <w:r w:rsidR="00F27747" w:rsidRPr="0026194B">
              <w:rPr>
                <w:color w:val="auto"/>
                <w:sz w:val="22"/>
                <w:szCs w:val="22"/>
              </w:rPr>
              <w:t xml:space="preserve"> </w:t>
            </w:r>
            <w:r w:rsidR="00B62EC9" w:rsidRPr="0026194B">
              <w:rPr>
                <w:color w:val="auto"/>
                <w:sz w:val="22"/>
                <w:szCs w:val="22"/>
              </w:rPr>
              <w:t>the agreement terminates</w:t>
            </w:r>
          </w:p>
        </w:tc>
      </w:tr>
      <w:tr w:rsidR="00623FFA" w:rsidRPr="0026194B" w14:paraId="3866DC44" w14:textId="77777777" w:rsidTr="405C4E9A">
        <w:tc>
          <w:tcPr>
            <w:cnfStyle w:val="001000000000" w:firstRow="0" w:lastRow="0" w:firstColumn="1" w:lastColumn="0" w:oddVBand="0" w:evenVBand="0" w:oddHBand="0" w:evenHBand="0" w:firstRowFirstColumn="0" w:firstRowLastColumn="0" w:lastRowFirstColumn="0" w:lastRowLastColumn="0"/>
            <w:tcW w:w="1876" w:type="dxa"/>
          </w:tcPr>
          <w:p w14:paraId="7850DC2F" w14:textId="771185EA" w:rsidR="00623FFA" w:rsidRPr="0026194B" w:rsidRDefault="00623FFA" w:rsidP="008D40F4">
            <w:pPr>
              <w:pStyle w:val="Default"/>
              <w:ind w:right="-40"/>
              <w:jc w:val="both"/>
              <w:rPr>
                <w:color w:val="auto"/>
                <w:sz w:val="22"/>
                <w:szCs w:val="22"/>
              </w:rPr>
            </w:pPr>
            <w:r w:rsidRPr="0026194B">
              <w:rPr>
                <w:color w:val="auto"/>
                <w:sz w:val="22"/>
                <w:szCs w:val="22"/>
              </w:rPr>
              <w:t>CFF</w:t>
            </w:r>
          </w:p>
        </w:tc>
        <w:tc>
          <w:tcPr>
            <w:tcW w:w="3789" w:type="dxa"/>
          </w:tcPr>
          <w:p w14:paraId="10C53573" w14:textId="35F2A9E5" w:rsidR="00623FFA" w:rsidRPr="0026194B" w:rsidRDefault="003C5B7F" w:rsidP="008D40F4">
            <w:pPr>
              <w:pStyle w:val="Default"/>
              <w:spacing w:line="259" w:lineRule="auto"/>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w:t>
            </w:r>
            <w:r w:rsidR="52B6EA2A" w:rsidRPr="667E886F">
              <w:rPr>
                <w:color w:val="auto"/>
                <w:sz w:val="22"/>
                <w:szCs w:val="22"/>
              </w:rPr>
              <w:t xml:space="preserve">he </w:t>
            </w:r>
            <w:r w:rsidR="0003573B">
              <w:rPr>
                <w:color w:val="auto"/>
                <w:sz w:val="22"/>
                <w:szCs w:val="22"/>
              </w:rPr>
              <w:t xml:space="preserve">quarter </w:t>
            </w:r>
            <w:r w:rsidR="00DD6E62">
              <w:rPr>
                <w:color w:val="auto"/>
                <w:sz w:val="22"/>
                <w:szCs w:val="22"/>
              </w:rPr>
              <w:t>after</w:t>
            </w:r>
            <w:r w:rsidR="52B6EA2A" w:rsidRPr="667E886F">
              <w:rPr>
                <w:color w:val="auto"/>
                <w:sz w:val="22"/>
                <w:szCs w:val="22"/>
              </w:rPr>
              <w:t xml:space="preserve"> </w:t>
            </w:r>
            <w:r w:rsidR="00A46E53" w:rsidRPr="7338ADD8">
              <w:rPr>
                <w:color w:val="auto"/>
                <w:sz w:val="22"/>
                <w:szCs w:val="22"/>
              </w:rPr>
              <w:t xml:space="preserve">the AE submits its </w:t>
            </w:r>
            <w:r w:rsidR="00A46E53">
              <w:rPr>
                <w:color w:val="auto"/>
                <w:sz w:val="22"/>
                <w:szCs w:val="22"/>
              </w:rPr>
              <w:t>first procurements and/or grants</w:t>
            </w:r>
            <w:r w:rsidR="00EF0032">
              <w:rPr>
                <w:color w:val="auto"/>
                <w:sz w:val="22"/>
                <w:szCs w:val="22"/>
              </w:rPr>
              <w:t xml:space="preserve"> </w:t>
            </w:r>
            <w:r w:rsidR="0003573B">
              <w:rPr>
                <w:color w:val="auto"/>
                <w:sz w:val="22"/>
                <w:szCs w:val="22"/>
              </w:rPr>
              <w:t xml:space="preserve">using CFF </w:t>
            </w:r>
            <w:r w:rsidR="00EF0032">
              <w:rPr>
                <w:color w:val="auto"/>
                <w:sz w:val="22"/>
                <w:szCs w:val="22"/>
              </w:rPr>
              <w:t xml:space="preserve">in a </w:t>
            </w:r>
            <w:r w:rsidR="00EF0032" w:rsidRPr="7338ADD8">
              <w:rPr>
                <w:color w:val="auto"/>
                <w:sz w:val="22"/>
                <w:szCs w:val="22"/>
              </w:rPr>
              <w:t xml:space="preserve">Procurement and Grants </w:t>
            </w:r>
            <w:r w:rsidR="00EF0032">
              <w:rPr>
                <w:color w:val="auto"/>
                <w:sz w:val="22"/>
                <w:szCs w:val="22"/>
              </w:rPr>
              <w:t xml:space="preserve">Plan </w:t>
            </w:r>
            <w:r w:rsidR="00EF0032" w:rsidRPr="7338ADD8">
              <w:rPr>
                <w:color w:val="auto"/>
                <w:sz w:val="22"/>
                <w:szCs w:val="22"/>
              </w:rPr>
              <w:t>Package</w:t>
            </w:r>
            <w:r w:rsidR="00A46E53">
              <w:rPr>
                <w:color w:val="auto"/>
                <w:sz w:val="22"/>
                <w:szCs w:val="22"/>
              </w:rPr>
              <w:t xml:space="preserve"> </w:t>
            </w:r>
          </w:p>
        </w:tc>
        <w:tc>
          <w:tcPr>
            <w:tcW w:w="3802" w:type="dxa"/>
          </w:tcPr>
          <w:p w14:paraId="511BFFBE" w14:textId="34327BC9" w:rsidR="00A35A68" w:rsidRPr="0026194B" w:rsidRDefault="000352CB" w:rsidP="002218C1">
            <w:pPr>
              <w:pStyle w:val="Default"/>
              <w:spacing w:line="259" w:lineRule="auto"/>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C7844BA">
              <w:rPr>
                <w:color w:val="auto"/>
                <w:sz w:val="22"/>
                <w:szCs w:val="22"/>
              </w:rPr>
              <w:t>When the funds are exhausted or rolled over</w:t>
            </w:r>
            <w:r w:rsidR="009B52F4">
              <w:rPr>
                <w:color w:val="auto"/>
                <w:sz w:val="22"/>
                <w:szCs w:val="22"/>
              </w:rPr>
              <w:t xml:space="preserve"> into compact funds, or the </w:t>
            </w:r>
            <w:r w:rsidR="00F27747">
              <w:rPr>
                <w:color w:val="auto"/>
                <w:sz w:val="22"/>
                <w:szCs w:val="22"/>
              </w:rPr>
              <w:t xml:space="preserve">quarter in which </w:t>
            </w:r>
            <w:r w:rsidR="009B52F4">
              <w:rPr>
                <w:color w:val="auto"/>
                <w:sz w:val="22"/>
                <w:szCs w:val="22"/>
              </w:rPr>
              <w:t xml:space="preserve">the </w:t>
            </w:r>
            <w:r w:rsidR="0054786B">
              <w:rPr>
                <w:color w:val="auto"/>
                <w:sz w:val="22"/>
                <w:szCs w:val="22"/>
              </w:rPr>
              <w:t>compact</w:t>
            </w:r>
            <w:r w:rsidR="009B52F4">
              <w:rPr>
                <w:color w:val="auto"/>
                <w:sz w:val="22"/>
                <w:szCs w:val="22"/>
              </w:rPr>
              <w:t xml:space="preserve"> terminates</w:t>
            </w:r>
          </w:p>
        </w:tc>
      </w:tr>
      <w:tr w:rsidR="00623FFA" w:rsidRPr="0026194B" w14:paraId="3083AFA2" w14:textId="77777777" w:rsidTr="405C4E9A">
        <w:tc>
          <w:tcPr>
            <w:cnfStyle w:val="001000000000" w:firstRow="0" w:lastRow="0" w:firstColumn="1" w:lastColumn="0" w:oddVBand="0" w:evenVBand="0" w:oddHBand="0" w:evenHBand="0" w:firstRowFirstColumn="0" w:firstRowLastColumn="0" w:lastRowFirstColumn="0" w:lastRowLastColumn="0"/>
            <w:tcW w:w="1876" w:type="dxa"/>
          </w:tcPr>
          <w:p w14:paraId="5D1CEEE6" w14:textId="2BFC5C18" w:rsidR="00623FFA" w:rsidRPr="0026194B" w:rsidRDefault="00623FFA" w:rsidP="008D40F4">
            <w:pPr>
              <w:pStyle w:val="Default"/>
              <w:ind w:right="-40"/>
              <w:jc w:val="both"/>
              <w:rPr>
                <w:color w:val="auto"/>
                <w:sz w:val="22"/>
                <w:szCs w:val="22"/>
              </w:rPr>
            </w:pPr>
            <w:r w:rsidRPr="0026194B">
              <w:rPr>
                <w:color w:val="auto"/>
                <w:sz w:val="22"/>
                <w:szCs w:val="22"/>
              </w:rPr>
              <w:t>Compact</w:t>
            </w:r>
          </w:p>
        </w:tc>
        <w:tc>
          <w:tcPr>
            <w:tcW w:w="3789" w:type="dxa"/>
          </w:tcPr>
          <w:p w14:paraId="0D941B37" w14:textId="7F6D04A2" w:rsidR="00623FFA" w:rsidRPr="0026194B" w:rsidRDefault="003616E2" w:rsidP="008D40F4">
            <w:pPr>
              <w:pStyle w:val="Default"/>
              <w:spacing w:line="259" w:lineRule="auto"/>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w:t>
            </w:r>
            <w:r w:rsidRPr="667E886F">
              <w:rPr>
                <w:color w:val="auto"/>
                <w:sz w:val="22"/>
                <w:szCs w:val="22"/>
              </w:rPr>
              <w:t xml:space="preserve">he </w:t>
            </w:r>
            <w:r>
              <w:rPr>
                <w:color w:val="auto"/>
                <w:sz w:val="22"/>
                <w:szCs w:val="22"/>
              </w:rPr>
              <w:t>quarter in which</w:t>
            </w:r>
            <w:r w:rsidRPr="667E886F">
              <w:rPr>
                <w:color w:val="auto"/>
                <w:sz w:val="22"/>
                <w:szCs w:val="22"/>
              </w:rPr>
              <w:t xml:space="preserve"> </w:t>
            </w:r>
            <w:r w:rsidRPr="7338ADD8">
              <w:rPr>
                <w:color w:val="auto"/>
                <w:sz w:val="22"/>
                <w:szCs w:val="22"/>
              </w:rPr>
              <w:t xml:space="preserve">the </w:t>
            </w:r>
            <w:r w:rsidR="00002D27">
              <w:rPr>
                <w:color w:val="auto"/>
                <w:sz w:val="22"/>
                <w:szCs w:val="22"/>
              </w:rPr>
              <w:t>compact EIFs</w:t>
            </w:r>
          </w:p>
        </w:tc>
        <w:tc>
          <w:tcPr>
            <w:tcW w:w="3802" w:type="dxa"/>
          </w:tcPr>
          <w:p w14:paraId="3A05D15C" w14:textId="188C3E96" w:rsidR="00623FFA" w:rsidRPr="0026194B" w:rsidRDefault="00075C2C" w:rsidP="002218C1">
            <w:pPr>
              <w:pStyle w:val="Default"/>
              <w:spacing w:line="259" w:lineRule="auto"/>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During the program</w:t>
            </w:r>
            <w:r w:rsidR="008D79F0" w:rsidRPr="405C4E9A">
              <w:rPr>
                <w:color w:val="auto"/>
                <w:sz w:val="22"/>
                <w:szCs w:val="22"/>
              </w:rPr>
              <w:t xml:space="preserve"> </w:t>
            </w:r>
            <w:r w:rsidR="00EC4BF6">
              <w:rPr>
                <w:color w:val="auto"/>
                <w:sz w:val="22"/>
                <w:szCs w:val="22"/>
              </w:rPr>
              <w:t>closure</w:t>
            </w:r>
            <w:r w:rsidR="008D79F0" w:rsidRPr="405C4E9A">
              <w:rPr>
                <w:color w:val="auto"/>
                <w:sz w:val="22"/>
                <w:szCs w:val="22"/>
              </w:rPr>
              <w:t xml:space="preserve"> period </w:t>
            </w:r>
          </w:p>
        </w:tc>
      </w:tr>
      <w:tr w:rsidR="00623FFA" w:rsidRPr="0026194B" w14:paraId="0DA665A8" w14:textId="77777777" w:rsidTr="405C4E9A">
        <w:tc>
          <w:tcPr>
            <w:cnfStyle w:val="001000000000" w:firstRow="0" w:lastRow="0" w:firstColumn="1" w:lastColumn="0" w:oddVBand="0" w:evenVBand="0" w:oddHBand="0" w:evenHBand="0" w:firstRowFirstColumn="0" w:firstRowLastColumn="0" w:lastRowFirstColumn="0" w:lastRowLastColumn="0"/>
            <w:tcW w:w="1876" w:type="dxa"/>
          </w:tcPr>
          <w:p w14:paraId="46F5B38A" w14:textId="1CA5A496" w:rsidR="00623FFA" w:rsidRPr="0026194B" w:rsidRDefault="00623FFA" w:rsidP="008D40F4">
            <w:pPr>
              <w:pStyle w:val="Default"/>
              <w:ind w:right="-40"/>
              <w:jc w:val="both"/>
              <w:rPr>
                <w:color w:val="auto"/>
                <w:sz w:val="22"/>
                <w:szCs w:val="22"/>
              </w:rPr>
            </w:pPr>
            <w:r w:rsidRPr="0026194B">
              <w:rPr>
                <w:color w:val="auto"/>
                <w:sz w:val="22"/>
                <w:szCs w:val="22"/>
              </w:rPr>
              <w:t xml:space="preserve">Threshold </w:t>
            </w:r>
            <w:r w:rsidR="00E9230E">
              <w:rPr>
                <w:color w:val="auto"/>
                <w:sz w:val="22"/>
                <w:szCs w:val="22"/>
              </w:rPr>
              <w:t>Program</w:t>
            </w:r>
          </w:p>
        </w:tc>
        <w:tc>
          <w:tcPr>
            <w:tcW w:w="3789" w:type="dxa"/>
          </w:tcPr>
          <w:p w14:paraId="37FDB542" w14:textId="00FF821C" w:rsidR="00623FFA" w:rsidRPr="0026194B" w:rsidRDefault="003F3DCA" w:rsidP="008D40F4">
            <w:pPr>
              <w:pStyle w:val="Default"/>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w:t>
            </w:r>
            <w:r w:rsidRPr="667E886F">
              <w:rPr>
                <w:color w:val="auto"/>
                <w:sz w:val="22"/>
                <w:szCs w:val="22"/>
              </w:rPr>
              <w:t xml:space="preserve">he </w:t>
            </w:r>
            <w:r>
              <w:rPr>
                <w:color w:val="auto"/>
                <w:sz w:val="22"/>
                <w:szCs w:val="22"/>
              </w:rPr>
              <w:t xml:space="preserve">quarter </w:t>
            </w:r>
            <w:r w:rsidR="00DD6E62">
              <w:rPr>
                <w:color w:val="auto"/>
                <w:sz w:val="22"/>
                <w:szCs w:val="22"/>
              </w:rPr>
              <w:t>after</w:t>
            </w:r>
            <w:r w:rsidR="00DD6E62" w:rsidRPr="667E886F">
              <w:rPr>
                <w:color w:val="auto"/>
                <w:sz w:val="22"/>
                <w:szCs w:val="22"/>
              </w:rPr>
              <w:t xml:space="preserve"> </w:t>
            </w:r>
            <w:r w:rsidRPr="7338ADD8">
              <w:rPr>
                <w:color w:val="auto"/>
                <w:sz w:val="22"/>
                <w:szCs w:val="22"/>
              </w:rPr>
              <w:t xml:space="preserve">the AE submits its </w:t>
            </w:r>
            <w:r>
              <w:rPr>
                <w:color w:val="auto"/>
                <w:sz w:val="22"/>
                <w:szCs w:val="22"/>
              </w:rPr>
              <w:t>first</w:t>
            </w:r>
            <w:r w:rsidR="003616E2">
              <w:rPr>
                <w:color w:val="auto"/>
                <w:sz w:val="22"/>
                <w:szCs w:val="22"/>
              </w:rPr>
              <w:t xml:space="preserve"> </w:t>
            </w:r>
            <w:r w:rsidRPr="7338ADD8">
              <w:rPr>
                <w:color w:val="auto"/>
                <w:sz w:val="22"/>
                <w:szCs w:val="22"/>
              </w:rPr>
              <w:t xml:space="preserve">Procurement and Grants </w:t>
            </w:r>
            <w:r>
              <w:rPr>
                <w:color w:val="auto"/>
                <w:sz w:val="22"/>
                <w:szCs w:val="22"/>
              </w:rPr>
              <w:t xml:space="preserve">Plan </w:t>
            </w:r>
            <w:r w:rsidRPr="7338ADD8">
              <w:rPr>
                <w:color w:val="auto"/>
                <w:sz w:val="22"/>
                <w:szCs w:val="22"/>
              </w:rPr>
              <w:t>Package</w:t>
            </w:r>
          </w:p>
        </w:tc>
        <w:tc>
          <w:tcPr>
            <w:tcW w:w="3802" w:type="dxa"/>
          </w:tcPr>
          <w:p w14:paraId="5AF59F3B" w14:textId="155FFA78" w:rsidR="00623FFA" w:rsidRPr="0026194B" w:rsidRDefault="00075C2C" w:rsidP="002218C1">
            <w:pPr>
              <w:pStyle w:val="Default"/>
              <w:spacing w:line="259" w:lineRule="auto"/>
              <w:ind w:right="-40"/>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During t</w:t>
            </w:r>
            <w:r w:rsidR="00872AAF">
              <w:rPr>
                <w:color w:val="auto"/>
                <w:sz w:val="22"/>
                <w:szCs w:val="22"/>
              </w:rPr>
              <w:t xml:space="preserve">he </w:t>
            </w:r>
            <w:r w:rsidR="00EC4BF6">
              <w:rPr>
                <w:color w:val="auto"/>
                <w:sz w:val="22"/>
                <w:szCs w:val="22"/>
              </w:rPr>
              <w:t>closure</w:t>
            </w:r>
            <w:r w:rsidR="00872AAF">
              <w:rPr>
                <w:color w:val="auto"/>
                <w:sz w:val="22"/>
                <w:szCs w:val="22"/>
              </w:rPr>
              <w:t xml:space="preserve"> period </w:t>
            </w:r>
          </w:p>
        </w:tc>
      </w:tr>
    </w:tbl>
    <w:p w14:paraId="34B3A19A" w14:textId="6AD65F76" w:rsidR="00C652C1" w:rsidRPr="0026194B" w:rsidRDefault="00C652C1" w:rsidP="008D40F4">
      <w:pPr>
        <w:pStyle w:val="Default"/>
        <w:ind w:right="-40"/>
        <w:jc w:val="both"/>
        <w:rPr>
          <w:color w:val="auto"/>
          <w:sz w:val="22"/>
          <w:szCs w:val="22"/>
        </w:rPr>
      </w:pPr>
    </w:p>
    <w:p w14:paraId="56F0BBB7" w14:textId="6DB88017" w:rsidR="00B00C82" w:rsidRPr="0026194B" w:rsidRDefault="00B00C82" w:rsidP="008D40F4">
      <w:pPr>
        <w:pStyle w:val="Default"/>
        <w:spacing w:line="259" w:lineRule="auto"/>
        <w:ind w:right="-40"/>
        <w:jc w:val="both"/>
        <w:rPr>
          <w:color w:val="auto"/>
          <w:sz w:val="22"/>
          <w:szCs w:val="22"/>
        </w:rPr>
      </w:pPr>
      <w:r w:rsidRPr="667E886F">
        <w:rPr>
          <w:color w:val="auto"/>
          <w:sz w:val="22"/>
          <w:szCs w:val="22"/>
        </w:rPr>
        <w:lastRenderedPageBreak/>
        <w:t xml:space="preserve">For </w:t>
      </w:r>
      <w:r w:rsidR="00D62551" w:rsidRPr="667E886F">
        <w:rPr>
          <w:color w:val="auto"/>
          <w:sz w:val="22"/>
          <w:szCs w:val="22"/>
        </w:rPr>
        <w:t>any</w:t>
      </w:r>
      <w:r w:rsidR="00602637" w:rsidRPr="667E886F">
        <w:rPr>
          <w:color w:val="auto"/>
          <w:sz w:val="22"/>
          <w:szCs w:val="22"/>
        </w:rPr>
        <w:t xml:space="preserve"> qua</w:t>
      </w:r>
      <w:r w:rsidR="00934879" w:rsidRPr="667E886F">
        <w:rPr>
          <w:color w:val="auto"/>
          <w:sz w:val="22"/>
          <w:szCs w:val="22"/>
        </w:rPr>
        <w:t>r</w:t>
      </w:r>
      <w:r w:rsidR="00602637" w:rsidRPr="667E886F">
        <w:rPr>
          <w:color w:val="auto"/>
          <w:sz w:val="22"/>
          <w:szCs w:val="22"/>
        </w:rPr>
        <w:t>ter</w:t>
      </w:r>
      <w:r w:rsidR="008E513C" w:rsidRPr="667E886F">
        <w:rPr>
          <w:color w:val="auto"/>
          <w:sz w:val="22"/>
          <w:szCs w:val="22"/>
        </w:rPr>
        <w:t xml:space="preserve"> </w:t>
      </w:r>
      <w:r w:rsidR="08108AC0" w:rsidRPr="667E886F">
        <w:rPr>
          <w:color w:val="auto"/>
          <w:sz w:val="22"/>
          <w:szCs w:val="22"/>
        </w:rPr>
        <w:t xml:space="preserve">after </w:t>
      </w:r>
      <w:r w:rsidR="1BC3B54C" w:rsidRPr="667E886F">
        <w:rPr>
          <w:color w:val="auto"/>
          <w:sz w:val="22"/>
          <w:szCs w:val="22"/>
        </w:rPr>
        <w:t xml:space="preserve">the funding agreement </w:t>
      </w:r>
      <w:r w:rsidR="008E513C" w:rsidRPr="667E886F">
        <w:rPr>
          <w:color w:val="auto"/>
          <w:sz w:val="22"/>
          <w:szCs w:val="22"/>
        </w:rPr>
        <w:t>signing</w:t>
      </w:r>
      <w:r w:rsidR="0040054B" w:rsidRPr="667E886F">
        <w:rPr>
          <w:color w:val="auto"/>
          <w:sz w:val="22"/>
          <w:szCs w:val="22"/>
        </w:rPr>
        <w:t xml:space="preserve"> or EIF</w:t>
      </w:r>
      <w:r w:rsidR="008E513C" w:rsidRPr="667E886F">
        <w:rPr>
          <w:color w:val="auto"/>
          <w:sz w:val="22"/>
          <w:szCs w:val="22"/>
        </w:rPr>
        <w:t xml:space="preserve"> </w:t>
      </w:r>
      <w:r w:rsidR="57C11799" w:rsidRPr="667E886F">
        <w:rPr>
          <w:color w:val="auto"/>
          <w:sz w:val="22"/>
          <w:szCs w:val="22"/>
        </w:rPr>
        <w:t xml:space="preserve">date </w:t>
      </w:r>
      <w:r w:rsidR="008E513C" w:rsidRPr="667E886F">
        <w:rPr>
          <w:color w:val="auto"/>
          <w:sz w:val="22"/>
          <w:szCs w:val="22"/>
        </w:rPr>
        <w:t xml:space="preserve">and </w:t>
      </w:r>
      <w:r w:rsidR="036B7392" w:rsidRPr="667E886F">
        <w:rPr>
          <w:color w:val="auto"/>
          <w:sz w:val="22"/>
          <w:szCs w:val="22"/>
        </w:rPr>
        <w:t xml:space="preserve">prior to </w:t>
      </w:r>
      <w:r w:rsidR="00F5238A" w:rsidRPr="667E886F">
        <w:rPr>
          <w:color w:val="auto"/>
          <w:sz w:val="22"/>
          <w:szCs w:val="22"/>
        </w:rPr>
        <w:t xml:space="preserve">the first </w:t>
      </w:r>
      <w:r w:rsidR="0040054B" w:rsidRPr="667E886F">
        <w:rPr>
          <w:color w:val="auto"/>
          <w:sz w:val="22"/>
          <w:szCs w:val="22"/>
        </w:rPr>
        <w:t>milestone outlined in Table 1 above</w:t>
      </w:r>
      <w:r w:rsidR="43D2423D" w:rsidRPr="667E886F">
        <w:rPr>
          <w:color w:val="auto"/>
          <w:sz w:val="22"/>
          <w:szCs w:val="22"/>
        </w:rPr>
        <w:t xml:space="preserve"> or the first QDRP submission by the AE</w:t>
      </w:r>
      <w:r w:rsidR="5283157D" w:rsidRPr="667E886F">
        <w:rPr>
          <w:color w:val="auto"/>
          <w:sz w:val="22"/>
          <w:szCs w:val="22"/>
        </w:rPr>
        <w:t xml:space="preserve"> (whichever comes first)</w:t>
      </w:r>
      <w:r w:rsidR="00F5238A" w:rsidRPr="667E886F">
        <w:rPr>
          <w:color w:val="auto"/>
          <w:sz w:val="22"/>
          <w:szCs w:val="22"/>
        </w:rPr>
        <w:t>, the MCC MIS administrator</w:t>
      </w:r>
      <w:r w:rsidR="00A71229">
        <w:rPr>
          <w:color w:val="auto"/>
          <w:sz w:val="22"/>
          <w:szCs w:val="22"/>
        </w:rPr>
        <w:t>, country team leadership</w:t>
      </w:r>
      <w:r w:rsidR="00F5238A" w:rsidRPr="667E886F">
        <w:rPr>
          <w:color w:val="auto"/>
          <w:sz w:val="22"/>
          <w:szCs w:val="22"/>
        </w:rPr>
        <w:t xml:space="preserve"> </w:t>
      </w:r>
      <w:r w:rsidR="003569F4" w:rsidRPr="667E886F">
        <w:rPr>
          <w:color w:val="auto"/>
          <w:sz w:val="22"/>
          <w:szCs w:val="22"/>
        </w:rPr>
        <w:t>or P</w:t>
      </w:r>
      <w:r w:rsidR="00B4669E" w:rsidRPr="667E886F">
        <w:rPr>
          <w:color w:val="auto"/>
          <w:sz w:val="22"/>
          <w:szCs w:val="22"/>
        </w:rPr>
        <w:t xml:space="preserve">FS </w:t>
      </w:r>
      <w:r w:rsidR="003569F4" w:rsidRPr="667E886F">
        <w:rPr>
          <w:color w:val="auto"/>
          <w:sz w:val="22"/>
          <w:szCs w:val="22"/>
        </w:rPr>
        <w:t xml:space="preserve">lead on the country team </w:t>
      </w:r>
      <w:r w:rsidR="00F5238A" w:rsidRPr="667E886F">
        <w:rPr>
          <w:color w:val="auto"/>
          <w:sz w:val="22"/>
          <w:szCs w:val="22"/>
        </w:rPr>
        <w:t xml:space="preserve">will </w:t>
      </w:r>
      <w:r w:rsidR="003569F4" w:rsidRPr="667E886F">
        <w:rPr>
          <w:color w:val="auto"/>
          <w:sz w:val="22"/>
          <w:szCs w:val="22"/>
        </w:rPr>
        <w:t xml:space="preserve">move the QDRP </w:t>
      </w:r>
      <w:r w:rsidR="00EB5059" w:rsidRPr="667E886F">
        <w:rPr>
          <w:color w:val="auto"/>
          <w:sz w:val="22"/>
          <w:szCs w:val="22"/>
        </w:rPr>
        <w:t>off the dashboard in MCC MIS</w:t>
      </w:r>
      <w:r w:rsidR="007B27FE" w:rsidRPr="667E886F">
        <w:rPr>
          <w:color w:val="auto"/>
          <w:sz w:val="22"/>
          <w:szCs w:val="22"/>
        </w:rPr>
        <w:t xml:space="preserve">, such that </w:t>
      </w:r>
      <w:r w:rsidR="00A87210" w:rsidRPr="667E886F">
        <w:rPr>
          <w:color w:val="auto"/>
          <w:sz w:val="22"/>
          <w:szCs w:val="22"/>
        </w:rPr>
        <w:t xml:space="preserve">the AE has access to the appropriate quarter when it </w:t>
      </w:r>
      <w:r w:rsidR="00D63733" w:rsidRPr="667E886F">
        <w:rPr>
          <w:color w:val="auto"/>
          <w:sz w:val="22"/>
          <w:szCs w:val="22"/>
        </w:rPr>
        <w:t>is required to start submitting QDRPs</w:t>
      </w:r>
      <w:r w:rsidR="00762855">
        <w:rPr>
          <w:rStyle w:val="FootnoteReference"/>
          <w:color w:val="auto"/>
          <w:sz w:val="22"/>
          <w:szCs w:val="22"/>
        </w:rPr>
        <w:footnoteReference w:id="2"/>
      </w:r>
      <w:r w:rsidR="00D63733" w:rsidRPr="667E886F">
        <w:rPr>
          <w:color w:val="auto"/>
          <w:sz w:val="22"/>
          <w:szCs w:val="22"/>
        </w:rPr>
        <w:t xml:space="preserve">. </w:t>
      </w:r>
    </w:p>
    <w:p w14:paraId="78ED9164" w14:textId="77777777" w:rsidR="00B00C82" w:rsidRPr="0026194B" w:rsidRDefault="00B00C82" w:rsidP="008D40F4">
      <w:pPr>
        <w:pStyle w:val="Default"/>
        <w:ind w:right="-40"/>
        <w:jc w:val="both"/>
        <w:rPr>
          <w:color w:val="auto"/>
          <w:sz w:val="22"/>
          <w:szCs w:val="22"/>
        </w:rPr>
      </w:pPr>
    </w:p>
    <w:p w14:paraId="2097D726" w14:textId="63B926A5" w:rsidR="003B4C1E" w:rsidRPr="0026194B" w:rsidRDefault="003B4C1E" w:rsidP="008D40F4">
      <w:pPr>
        <w:pStyle w:val="Heading1"/>
        <w:numPr>
          <w:ilvl w:val="0"/>
          <w:numId w:val="35"/>
        </w:numPr>
        <w:jc w:val="both"/>
        <w:rPr>
          <w:rFonts w:ascii="Times New Roman" w:hAnsi="Times New Roman"/>
          <w:color w:val="0070C0"/>
          <w:sz w:val="28"/>
          <w:szCs w:val="28"/>
        </w:rPr>
      </w:pPr>
      <w:bookmarkStart w:id="2" w:name="_Toc159578687"/>
      <w:r w:rsidRPr="0026194B">
        <w:rPr>
          <w:rFonts w:ascii="Times New Roman" w:hAnsi="Times New Roman"/>
          <w:color w:val="0070C0"/>
          <w:sz w:val="28"/>
          <w:szCs w:val="28"/>
        </w:rPr>
        <w:t xml:space="preserve">QFR </w:t>
      </w:r>
      <w:r w:rsidR="00737C0A" w:rsidRPr="0026194B">
        <w:rPr>
          <w:rFonts w:ascii="Times New Roman" w:hAnsi="Times New Roman"/>
          <w:color w:val="0070C0"/>
          <w:sz w:val="28"/>
          <w:szCs w:val="28"/>
        </w:rPr>
        <w:t>c</w:t>
      </w:r>
      <w:r w:rsidRPr="0026194B">
        <w:rPr>
          <w:rFonts w:ascii="Times New Roman" w:hAnsi="Times New Roman"/>
          <w:color w:val="0070C0"/>
          <w:sz w:val="28"/>
          <w:szCs w:val="28"/>
        </w:rPr>
        <w:t>omponents</w:t>
      </w:r>
      <w:r w:rsidR="00C02CE0" w:rsidRPr="0026194B">
        <w:rPr>
          <w:rFonts w:ascii="Times New Roman" w:hAnsi="Times New Roman"/>
          <w:color w:val="0070C0"/>
          <w:sz w:val="28"/>
          <w:szCs w:val="28"/>
        </w:rPr>
        <w:t xml:space="preserve"> and </w:t>
      </w:r>
      <w:r w:rsidR="00737C0A" w:rsidRPr="0026194B">
        <w:rPr>
          <w:rFonts w:ascii="Times New Roman" w:hAnsi="Times New Roman"/>
          <w:color w:val="0070C0"/>
          <w:sz w:val="28"/>
          <w:szCs w:val="28"/>
        </w:rPr>
        <w:t>i</w:t>
      </w:r>
      <w:r w:rsidR="00C02CE0" w:rsidRPr="0026194B">
        <w:rPr>
          <w:rFonts w:ascii="Times New Roman" w:hAnsi="Times New Roman"/>
          <w:color w:val="0070C0"/>
          <w:sz w:val="28"/>
          <w:szCs w:val="28"/>
        </w:rPr>
        <w:t>nstructions</w:t>
      </w:r>
      <w:bookmarkEnd w:id="2"/>
      <w:r w:rsidR="00C02CE0" w:rsidRPr="0026194B">
        <w:rPr>
          <w:rFonts w:ascii="Times New Roman" w:hAnsi="Times New Roman"/>
          <w:color w:val="0070C0"/>
          <w:sz w:val="28"/>
          <w:szCs w:val="28"/>
        </w:rPr>
        <w:t xml:space="preserve"> </w:t>
      </w:r>
    </w:p>
    <w:p w14:paraId="494652D5" w14:textId="71303AA3" w:rsidR="003B4C1E" w:rsidRPr="0026194B" w:rsidRDefault="003B4C1E" w:rsidP="008D40F4">
      <w:pPr>
        <w:pStyle w:val="Default"/>
        <w:ind w:right="-40"/>
        <w:jc w:val="both"/>
        <w:rPr>
          <w:color w:val="auto"/>
          <w:sz w:val="22"/>
          <w:szCs w:val="22"/>
        </w:rPr>
      </w:pPr>
      <w:r w:rsidRPr="0026194B">
        <w:rPr>
          <w:color w:val="auto"/>
          <w:sz w:val="22"/>
          <w:szCs w:val="22"/>
        </w:rPr>
        <w:t>The QFR consists of the following components</w:t>
      </w:r>
      <w:r w:rsidR="006A0525" w:rsidRPr="0026194B">
        <w:rPr>
          <w:color w:val="auto"/>
          <w:sz w:val="22"/>
          <w:szCs w:val="22"/>
        </w:rPr>
        <w:t>, which are further described below</w:t>
      </w:r>
      <w:r w:rsidRPr="0026194B">
        <w:rPr>
          <w:color w:val="auto"/>
          <w:sz w:val="22"/>
          <w:szCs w:val="22"/>
        </w:rPr>
        <w:t>:</w:t>
      </w:r>
    </w:p>
    <w:p w14:paraId="4AC49C88" w14:textId="002681AA" w:rsidR="00424D43" w:rsidRPr="00072346" w:rsidRDefault="003B4C1E" w:rsidP="00072346">
      <w:pPr>
        <w:pStyle w:val="Default"/>
        <w:numPr>
          <w:ilvl w:val="0"/>
          <w:numId w:val="12"/>
        </w:numPr>
        <w:ind w:right="-40"/>
        <w:jc w:val="both"/>
        <w:rPr>
          <w:color w:val="auto"/>
          <w:sz w:val="22"/>
          <w:szCs w:val="22"/>
        </w:rPr>
      </w:pPr>
      <w:r w:rsidRPr="003E7E73">
        <w:rPr>
          <w:b/>
          <w:bCs/>
          <w:color w:val="auto"/>
          <w:sz w:val="22"/>
          <w:szCs w:val="22"/>
        </w:rPr>
        <w:t>Schedule A</w:t>
      </w:r>
      <w:r w:rsidR="008A74A6">
        <w:rPr>
          <w:color w:val="auto"/>
          <w:sz w:val="22"/>
          <w:szCs w:val="22"/>
        </w:rPr>
        <w:t>, the</w:t>
      </w:r>
      <w:r w:rsidR="00424D43" w:rsidRPr="0026194B">
        <w:rPr>
          <w:color w:val="auto"/>
          <w:sz w:val="22"/>
          <w:szCs w:val="22"/>
        </w:rPr>
        <w:t xml:space="preserve"> </w:t>
      </w:r>
      <w:r w:rsidR="008A74A6" w:rsidRPr="0026194B">
        <w:rPr>
          <w:color w:val="auto"/>
          <w:sz w:val="22"/>
          <w:szCs w:val="22"/>
        </w:rPr>
        <w:t>Multi Year Financial Plan (MYFP) Adjustment Request Form</w:t>
      </w:r>
      <w:r w:rsidR="00BB53B8">
        <w:rPr>
          <w:color w:val="auto"/>
          <w:sz w:val="22"/>
          <w:szCs w:val="22"/>
        </w:rPr>
        <w:t xml:space="preserve">, </w:t>
      </w:r>
      <w:r w:rsidR="003E7E73" w:rsidRPr="0026194B">
        <w:rPr>
          <w:color w:val="auto"/>
          <w:sz w:val="22"/>
          <w:szCs w:val="22"/>
        </w:rPr>
        <w:t>is designed to propose reallocations of funding across projects and/or activities in the MYFP</w:t>
      </w:r>
      <w:r w:rsidR="0012584F">
        <w:rPr>
          <w:color w:val="auto"/>
          <w:sz w:val="22"/>
          <w:szCs w:val="22"/>
        </w:rPr>
        <w:t>.</w:t>
      </w:r>
      <w:r w:rsidR="003E7E73" w:rsidRPr="0026194B">
        <w:rPr>
          <w:rStyle w:val="FootnoteReference"/>
          <w:color w:val="auto"/>
          <w:sz w:val="22"/>
          <w:szCs w:val="22"/>
        </w:rPr>
        <w:footnoteReference w:id="3"/>
      </w:r>
    </w:p>
    <w:p w14:paraId="6E49FB16" w14:textId="480B597D" w:rsidR="00213504" w:rsidRPr="0026194B" w:rsidRDefault="00213504" w:rsidP="008D40F4">
      <w:pPr>
        <w:pStyle w:val="Default"/>
        <w:numPr>
          <w:ilvl w:val="0"/>
          <w:numId w:val="12"/>
        </w:numPr>
        <w:ind w:right="-40"/>
        <w:jc w:val="both"/>
        <w:rPr>
          <w:color w:val="auto"/>
          <w:sz w:val="22"/>
          <w:szCs w:val="22"/>
        </w:rPr>
      </w:pPr>
      <w:r w:rsidRPr="0C7844BA">
        <w:rPr>
          <w:b/>
          <w:bCs/>
          <w:color w:val="auto"/>
          <w:sz w:val="22"/>
          <w:szCs w:val="22"/>
        </w:rPr>
        <w:t>Detailed Financial Plans (DFPs) (commitments and cash)</w:t>
      </w:r>
      <w:r w:rsidRPr="0C7844BA">
        <w:rPr>
          <w:color w:val="auto"/>
          <w:sz w:val="22"/>
          <w:szCs w:val="22"/>
        </w:rPr>
        <w:t>,</w:t>
      </w:r>
      <w:r w:rsidR="003E7E73" w:rsidRPr="0C7844BA">
        <w:rPr>
          <w:color w:val="auto"/>
          <w:sz w:val="22"/>
          <w:szCs w:val="22"/>
        </w:rPr>
        <w:t xml:space="preserve"> reflect the funding that the AE expects to commit and the disbursements it expects to make </w:t>
      </w:r>
      <w:r w:rsidR="232BF767" w:rsidRPr="0C7844BA">
        <w:rPr>
          <w:color w:val="auto"/>
          <w:sz w:val="22"/>
          <w:szCs w:val="22"/>
        </w:rPr>
        <w:t>at the project</w:t>
      </w:r>
      <w:r w:rsidR="00745A3D">
        <w:rPr>
          <w:color w:val="auto"/>
          <w:sz w:val="22"/>
          <w:szCs w:val="22"/>
        </w:rPr>
        <w:t xml:space="preserve">, </w:t>
      </w:r>
      <w:r w:rsidR="232BF767" w:rsidRPr="0C7844BA">
        <w:rPr>
          <w:color w:val="auto"/>
          <w:sz w:val="22"/>
          <w:szCs w:val="22"/>
        </w:rPr>
        <w:t>activity</w:t>
      </w:r>
      <w:r w:rsidR="00745A3D">
        <w:rPr>
          <w:color w:val="auto"/>
          <w:sz w:val="22"/>
          <w:szCs w:val="22"/>
        </w:rPr>
        <w:t xml:space="preserve">, and </w:t>
      </w:r>
      <w:r w:rsidR="232BF767" w:rsidRPr="0C7844BA">
        <w:rPr>
          <w:color w:val="auto"/>
          <w:sz w:val="22"/>
          <w:szCs w:val="22"/>
        </w:rPr>
        <w:t>sub</w:t>
      </w:r>
      <w:r w:rsidR="00FE389A">
        <w:rPr>
          <w:color w:val="auto"/>
          <w:sz w:val="22"/>
          <w:szCs w:val="22"/>
        </w:rPr>
        <w:t>-</w:t>
      </w:r>
      <w:r w:rsidR="232BF767" w:rsidRPr="0C7844BA">
        <w:rPr>
          <w:color w:val="auto"/>
          <w:sz w:val="22"/>
          <w:szCs w:val="22"/>
        </w:rPr>
        <w:t xml:space="preserve">activity </w:t>
      </w:r>
      <w:r w:rsidR="00745A3D">
        <w:rPr>
          <w:color w:val="auto"/>
          <w:sz w:val="22"/>
          <w:szCs w:val="22"/>
        </w:rPr>
        <w:t>levels</w:t>
      </w:r>
      <w:r w:rsidR="007D099C">
        <w:rPr>
          <w:color w:val="auto"/>
          <w:sz w:val="22"/>
          <w:szCs w:val="22"/>
        </w:rPr>
        <w:t xml:space="preserve"> over the </w:t>
      </w:r>
      <w:r w:rsidR="006C594F">
        <w:rPr>
          <w:color w:val="auto"/>
          <w:sz w:val="22"/>
          <w:szCs w:val="22"/>
        </w:rPr>
        <w:t>remaining</w:t>
      </w:r>
      <w:r w:rsidR="007D099C">
        <w:rPr>
          <w:color w:val="auto"/>
          <w:sz w:val="22"/>
          <w:szCs w:val="22"/>
        </w:rPr>
        <w:t xml:space="preserve"> </w:t>
      </w:r>
      <w:r w:rsidR="003E7E73" w:rsidRPr="0C7844BA">
        <w:rPr>
          <w:color w:val="auto"/>
          <w:sz w:val="22"/>
          <w:szCs w:val="22"/>
        </w:rPr>
        <w:t>life of the program</w:t>
      </w:r>
      <w:r w:rsidR="0012584F" w:rsidRPr="0C7844BA">
        <w:rPr>
          <w:sz w:val="22"/>
          <w:szCs w:val="22"/>
        </w:rPr>
        <w:t>.</w:t>
      </w:r>
    </w:p>
    <w:p w14:paraId="02694EEC" w14:textId="5D93CF74" w:rsidR="003B4C1E" w:rsidRPr="0026194B" w:rsidRDefault="003B4C1E" w:rsidP="008D40F4">
      <w:pPr>
        <w:pStyle w:val="Default"/>
        <w:numPr>
          <w:ilvl w:val="0"/>
          <w:numId w:val="12"/>
        </w:numPr>
        <w:ind w:right="-40"/>
        <w:jc w:val="both"/>
        <w:rPr>
          <w:color w:val="auto"/>
          <w:sz w:val="22"/>
          <w:szCs w:val="22"/>
        </w:rPr>
      </w:pPr>
      <w:r w:rsidRPr="00C1719A">
        <w:rPr>
          <w:b/>
          <w:bCs/>
          <w:color w:val="auto"/>
          <w:sz w:val="22"/>
          <w:szCs w:val="22"/>
        </w:rPr>
        <w:t>Disbursement Request Form</w:t>
      </w:r>
      <w:r w:rsidR="00C1719A">
        <w:rPr>
          <w:color w:val="auto"/>
          <w:sz w:val="22"/>
          <w:szCs w:val="22"/>
        </w:rPr>
        <w:t xml:space="preserve"> </w:t>
      </w:r>
      <w:r w:rsidR="0012584F">
        <w:rPr>
          <w:color w:val="auto"/>
          <w:sz w:val="22"/>
          <w:szCs w:val="22"/>
        </w:rPr>
        <w:t>is a</w:t>
      </w:r>
      <w:r w:rsidR="00C1719A">
        <w:rPr>
          <w:color w:val="auto"/>
          <w:sz w:val="22"/>
          <w:szCs w:val="22"/>
        </w:rPr>
        <w:t xml:space="preserve"> </w:t>
      </w:r>
      <w:r w:rsidR="00C1719A" w:rsidRPr="0026194B">
        <w:rPr>
          <w:color w:val="auto"/>
          <w:sz w:val="22"/>
          <w:szCs w:val="22"/>
        </w:rPr>
        <w:t>form that AEs use to request disbursement authority for the upcoming quarter</w:t>
      </w:r>
      <w:r w:rsidR="0012584F">
        <w:rPr>
          <w:color w:val="auto"/>
          <w:sz w:val="22"/>
          <w:szCs w:val="22"/>
        </w:rPr>
        <w:t xml:space="preserve">. </w:t>
      </w:r>
    </w:p>
    <w:p w14:paraId="1D055FA5" w14:textId="7CB7A695" w:rsidR="003B4C1E" w:rsidRPr="0026194B" w:rsidRDefault="003B4C1E" w:rsidP="008D40F4">
      <w:pPr>
        <w:pStyle w:val="Default"/>
        <w:numPr>
          <w:ilvl w:val="0"/>
          <w:numId w:val="12"/>
        </w:numPr>
        <w:ind w:right="-40"/>
        <w:jc w:val="both"/>
        <w:rPr>
          <w:color w:val="auto"/>
          <w:sz w:val="22"/>
          <w:szCs w:val="22"/>
        </w:rPr>
      </w:pPr>
      <w:r w:rsidRPr="0C7844BA">
        <w:rPr>
          <w:b/>
          <w:bCs/>
          <w:color w:val="auto"/>
          <w:sz w:val="22"/>
          <w:szCs w:val="22"/>
        </w:rPr>
        <w:t>Contract Detail Report</w:t>
      </w:r>
      <w:r w:rsidR="006902F2" w:rsidRPr="0C7844BA">
        <w:rPr>
          <w:b/>
          <w:bCs/>
          <w:color w:val="auto"/>
          <w:sz w:val="22"/>
          <w:szCs w:val="22"/>
        </w:rPr>
        <w:t>s</w:t>
      </w:r>
      <w:r w:rsidRPr="0C7844BA">
        <w:rPr>
          <w:b/>
          <w:bCs/>
          <w:color w:val="auto"/>
          <w:sz w:val="22"/>
          <w:szCs w:val="22"/>
        </w:rPr>
        <w:t xml:space="preserve"> (CDR)</w:t>
      </w:r>
      <w:r w:rsidR="006902F2" w:rsidRPr="0C7844BA">
        <w:rPr>
          <w:b/>
          <w:bCs/>
          <w:color w:val="auto"/>
          <w:sz w:val="22"/>
          <w:szCs w:val="22"/>
        </w:rPr>
        <w:t xml:space="preserve"> (commitments</w:t>
      </w:r>
      <w:r w:rsidR="00347787" w:rsidRPr="0C7844BA">
        <w:rPr>
          <w:b/>
          <w:bCs/>
          <w:color w:val="auto"/>
          <w:sz w:val="22"/>
          <w:szCs w:val="22"/>
        </w:rPr>
        <w:t xml:space="preserve"> and cash</w:t>
      </w:r>
      <w:r w:rsidR="006902F2" w:rsidRPr="0C7844BA">
        <w:rPr>
          <w:b/>
          <w:bCs/>
          <w:color w:val="auto"/>
          <w:sz w:val="22"/>
          <w:szCs w:val="22"/>
        </w:rPr>
        <w:t>)</w:t>
      </w:r>
      <w:r w:rsidR="0012584F" w:rsidRPr="0C7844BA">
        <w:rPr>
          <w:color w:val="auto"/>
          <w:sz w:val="22"/>
          <w:szCs w:val="22"/>
        </w:rPr>
        <w:t xml:space="preserve"> are </w:t>
      </w:r>
      <w:r w:rsidR="003E7E73" w:rsidRPr="0C7844BA">
        <w:rPr>
          <w:color w:val="auto"/>
          <w:sz w:val="22"/>
          <w:szCs w:val="22"/>
        </w:rPr>
        <w:t>reports which</w:t>
      </w:r>
      <w:r w:rsidR="00C1719A" w:rsidRPr="0C7844BA">
        <w:rPr>
          <w:color w:val="auto"/>
          <w:sz w:val="22"/>
          <w:szCs w:val="22"/>
        </w:rPr>
        <w:t xml:space="preserve"> </w:t>
      </w:r>
      <w:r w:rsidR="00C1719A" w:rsidRPr="0C7844BA">
        <w:rPr>
          <w:rFonts w:eastAsia="Calibri"/>
          <w:sz w:val="22"/>
          <w:szCs w:val="22"/>
        </w:rPr>
        <w:t xml:space="preserve">follow a similar format to the DFPs but provide more granular detail to explain the figures in the DFPs, including information down to the contract level. </w:t>
      </w:r>
      <w:r w:rsidR="00E017A0" w:rsidRPr="0C7844BA">
        <w:rPr>
          <w:color w:val="auto"/>
          <w:sz w:val="22"/>
          <w:szCs w:val="22"/>
        </w:rPr>
        <w:t xml:space="preserve"> </w:t>
      </w:r>
    </w:p>
    <w:p w14:paraId="775F0657" w14:textId="77777777" w:rsidR="00547FA8" w:rsidRPr="00BB7EC5" w:rsidRDefault="00547FA8" w:rsidP="008D40F4">
      <w:pPr>
        <w:pStyle w:val="Default"/>
        <w:ind w:left="720" w:right="-40"/>
        <w:jc w:val="both"/>
        <w:rPr>
          <w:color w:val="auto"/>
          <w:sz w:val="22"/>
          <w:szCs w:val="22"/>
        </w:rPr>
      </w:pPr>
    </w:p>
    <w:p w14:paraId="13832408" w14:textId="77777777" w:rsidR="00547FA8" w:rsidRDefault="00547FA8" w:rsidP="008D40F4">
      <w:pPr>
        <w:pStyle w:val="Default"/>
        <w:ind w:right="-40"/>
        <w:jc w:val="both"/>
        <w:rPr>
          <w:color w:val="auto"/>
          <w:sz w:val="22"/>
          <w:szCs w:val="22"/>
        </w:rPr>
      </w:pPr>
      <w:r w:rsidRPr="0026194B">
        <w:rPr>
          <w:color w:val="auto"/>
          <w:sz w:val="22"/>
          <w:szCs w:val="22"/>
        </w:rPr>
        <w:t xml:space="preserve">All amounts in the QFR must be expressed in United States Dollars (USD).  </w:t>
      </w:r>
    </w:p>
    <w:p w14:paraId="6FC3438B" w14:textId="77777777" w:rsidR="003B4C1E" w:rsidRPr="0026194B" w:rsidRDefault="003B4C1E" w:rsidP="008D40F4">
      <w:pPr>
        <w:pStyle w:val="Default"/>
        <w:ind w:right="-40"/>
        <w:jc w:val="both"/>
        <w:rPr>
          <w:color w:val="auto"/>
          <w:sz w:val="22"/>
          <w:szCs w:val="22"/>
        </w:rPr>
      </w:pPr>
    </w:p>
    <w:p w14:paraId="06391DA9" w14:textId="13AADF1D" w:rsidR="008A0E8C" w:rsidRPr="00BB7EC5" w:rsidRDefault="003B4C1E" w:rsidP="008D40F4">
      <w:pPr>
        <w:pStyle w:val="Default"/>
        <w:ind w:right="-40"/>
        <w:jc w:val="both"/>
        <w:rPr>
          <w:color w:val="auto"/>
          <w:sz w:val="22"/>
          <w:szCs w:val="22"/>
        </w:rPr>
      </w:pPr>
      <w:r w:rsidRPr="0026194B">
        <w:rPr>
          <w:color w:val="auto"/>
          <w:sz w:val="22"/>
          <w:szCs w:val="22"/>
        </w:rPr>
        <w:t xml:space="preserve">For all QFR </w:t>
      </w:r>
      <w:r w:rsidRPr="00BB7EC5">
        <w:rPr>
          <w:color w:val="auto"/>
          <w:sz w:val="22"/>
          <w:szCs w:val="22"/>
        </w:rPr>
        <w:t>components</w:t>
      </w:r>
      <w:r w:rsidR="006003AC" w:rsidRPr="00BB7EC5">
        <w:rPr>
          <w:color w:val="auto"/>
          <w:sz w:val="22"/>
          <w:szCs w:val="22"/>
        </w:rPr>
        <w:t xml:space="preserve"> except the CDRs</w:t>
      </w:r>
      <w:r w:rsidRPr="00BB7EC5">
        <w:rPr>
          <w:color w:val="auto"/>
          <w:sz w:val="22"/>
          <w:szCs w:val="22"/>
        </w:rPr>
        <w:t xml:space="preserve">, </w:t>
      </w:r>
      <w:r w:rsidR="009779C1" w:rsidRPr="00BB7EC5">
        <w:rPr>
          <w:color w:val="auto"/>
          <w:sz w:val="22"/>
          <w:szCs w:val="22"/>
        </w:rPr>
        <w:t>additional information related to the program</w:t>
      </w:r>
      <w:r w:rsidR="002E4611" w:rsidRPr="00BB7EC5">
        <w:rPr>
          <w:color w:val="auto"/>
          <w:sz w:val="22"/>
          <w:szCs w:val="22"/>
        </w:rPr>
        <w:t xml:space="preserve"> (such as the name of the country</w:t>
      </w:r>
      <w:r w:rsidR="00E60A3A">
        <w:rPr>
          <w:color w:val="auto"/>
          <w:sz w:val="22"/>
          <w:szCs w:val="22"/>
        </w:rPr>
        <w:t>,</w:t>
      </w:r>
      <w:r w:rsidR="002E4611" w:rsidRPr="00BB7EC5">
        <w:rPr>
          <w:color w:val="auto"/>
          <w:sz w:val="22"/>
          <w:szCs w:val="22"/>
        </w:rPr>
        <w:t xml:space="preserve"> name of the AE</w:t>
      </w:r>
      <w:r w:rsidR="00E60A3A">
        <w:rPr>
          <w:color w:val="auto"/>
          <w:sz w:val="22"/>
          <w:szCs w:val="22"/>
        </w:rPr>
        <w:t>,</w:t>
      </w:r>
      <w:r w:rsidR="002E4611" w:rsidRPr="00BB7EC5">
        <w:rPr>
          <w:color w:val="auto"/>
          <w:sz w:val="22"/>
          <w:szCs w:val="22"/>
        </w:rPr>
        <w:t xml:space="preserve"> grant number</w:t>
      </w:r>
      <w:r w:rsidR="00BB7EC5" w:rsidRPr="00BB7EC5">
        <w:rPr>
          <w:color w:val="auto"/>
          <w:sz w:val="22"/>
          <w:szCs w:val="22"/>
        </w:rPr>
        <w:t>, etc.)</w:t>
      </w:r>
      <w:r w:rsidR="009779C1" w:rsidRPr="00BB7EC5">
        <w:rPr>
          <w:color w:val="auto"/>
          <w:sz w:val="22"/>
          <w:szCs w:val="22"/>
        </w:rPr>
        <w:t xml:space="preserve"> </w:t>
      </w:r>
      <w:r w:rsidR="00D25A1E" w:rsidRPr="00BB7EC5">
        <w:rPr>
          <w:color w:val="auto"/>
          <w:sz w:val="22"/>
          <w:szCs w:val="22"/>
        </w:rPr>
        <w:t xml:space="preserve">and the specific submission </w:t>
      </w:r>
      <w:r w:rsidR="00E15280" w:rsidRPr="00BB7EC5">
        <w:rPr>
          <w:color w:val="auto"/>
          <w:sz w:val="22"/>
          <w:szCs w:val="22"/>
        </w:rPr>
        <w:t xml:space="preserve">is automatically populated in MCC MIS. </w:t>
      </w:r>
      <w:bookmarkStart w:id="3" w:name="_Hlk38022430"/>
    </w:p>
    <w:bookmarkEnd w:id="3"/>
    <w:p w14:paraId="5C4BC32F" w14:textId="618BBCA9" w:rsidR="00421999" w:rsidRDefault="00421999" w:rsidP="008D40F4">
      <w:pPr>
        <w:pStyle w:val="Default"/>
        <w:ind w:right="-40"/>
        <w:jc w:val="both"/>
        <w:rPr>
          <w:color w:val="auto"/>
          <w:sz w:val="22"/>
          <w:szCs w:val="22"/>
        </w:rPr>
      </w:pPr>
    </w:p>
    <w:p w14:paraId="48D19063" w14:textId="1625EA0A" w:rsidR="00421999" w:rsidRPr="00D31B6D" w:rsidRDefault="00421999" w:rsidP="008D40F4">
      <w:pPr>
        <w:pStyle w:val="Default"/>
        <w:ind w:right="-40"/>
        <w:jc w:val="both"/>
        <w:rPr>
          <w:sz w:val="22"/>
          <w:szCs w:val="22"/>
        </w:rPr>
      </w:pPr>
      <w:r>
        <w:rPr>
          <w:color w:val="auto"/>
          <w:sz w:val="22"/>
          <w:szCs w:val="22"/>
        </w:rPr>
        <w:t xml:space="preserve">The following </w:t>
      </w:r>
      <w:r w:rsidR="00942BFD">
        <w:rPr>
          <w:color w:val="auto"/>
          <w:sz w:val="22"/>
          <w:szCs w:val="22"/>
        </w:rPr>
        <w:t>sub-</w:t>
      </w:r>
      <w:r>
        <w:rPr>
          <w:color w:val="auto"/>
          <w:sz w:val="22"/>
          <w:szCs w:val="22"/>
        </w:rPr>
        <w:t xml:space="preserve">sections provide additional detail on filling out the QFR. </w:t>
      </w:r>
      <w:r w:rsidR="00942BFD">
        <w:rPr>
          <w:sz w:val="22"/>
          <w:szCs w:val="22"/>
        </w:rPr>
        <w:t>Note that the column numbers reflected in the sub-sections below refer to the column numbers in the QFR templates in Annex 2.</w:t>
      </w:r>
    </w:p>
    <w:p w14:paraId="25DBCABB" w14:textId="77777777" w:rsidR="003B4C1E" w:rsidRPr="0026194B" w:rsidRDefault="003B4C1E" w:rsidP="008D40F4">
      <w:pPr>
        <w:pStyle w:val="Default"/>
        <w:ind w:right="-40"/>
        <w:jc w:val="both"/>
        <w:rPr>
          <w:color w:val="auto"/>
          <w:sz w:val="22"/>
          <w:szCs w:val="22"/>
        </w:rPr>
      </w:pPr>
      <w:r w:rsidRPr="0026194B">
        <w:rPr>
          <w:color w:val="auto"/>
          <w:sz w:val="22"/>
          <w:szCs w:val="22"/>
        </w:rPr>
        <w:t xml:space="preserve"> </w:t>
      </w:r>
    </w:p>
    <w:p w14:paraId="17466293" w14:textId="037665E7" w:rsidR="00B42F22" w:rsidRPr="0026194B" w:rsidRDefault="00B42F22" w:rsidP="008D40F4">
      <w:pPr>
        <w:pStyle w:val="Heading2"/>
        <w:jc w:val="both"/>
        <w:rPr>
          <w:rFonts w:ascii="Times New Roman" w:eastAsia="Calibri" w:hAnsi="Times New Roman" w:cs="Times New Roman"/>
        </w:rPr>
      </w:pPr>
      <w:bookmarkStart w:id="4" w:name="_Toc159578688"/>
      <w:r w:rsidRPr="0026194B">
        <w:rPr>
          <w:rFonts w:ascii="Times New Roman" w:eastAsia="Calibri" w:hAnsi="Times New Roman" w:cs="Times New Roman"/>
        </w:rPr>
        <w:t>Schedule A: Multi-Year Financial Plan (MYFP) Adjustment Request Form</w:t>
      </w:r>
      <w:bookmarkEnd w:id="4"/>
      <w:r w:rsidRPr="0026194B">
        <w:rPr>
          <w:rFonts w:ascii="Times New Roman" w:eastAsia="Calibri" w:hAnsi="Times New Roman" w:cs="Times New Roman"/>
        </w:rPr>
        <w:t xml:space="preserve"> </w:t>
      </w:r>
    </w:p>
    <w:p w14:paraId="02406464" w14:textId="22C55EC8" w:rsidR="00B42F22" w:rsidRPr="0026194B" w:rsidRDefault="00B42F22" w:rsidP="008D40F4">
      <w:pPr>
        <w:autoSpaceDE w:val="0"/>
        <w:autoSpaceDN w:val="0"/>
        <w:adjustRightInd w:val="0"/>
        <w:ind w:right="-40"/>
        <w:jc w:val="both"/>
        <w:rPr>
          <w:rFonts w:eastAsia="Calibri"/>
          <w:sz w:val="22"/>
          <w:szCs w:val="22"/>
        </w:rPr>
      </w:pPr>
      <w:r w:rsidRPr="0026194B">
        <w:rPr>
          <w:rFonts w:eastAsia="Calibri"/>
          <w:sz w:val="22"/>
          <w:szCs w:val="22"/>
        </w:rPr>
        <w:t xml:space="preserve">Schedule A is typically used to request formal adjustments (reallocations) of funding from one project or activity to another in the MYFP; however, it can also be used to </w:t>
      </w:r>
      <w:r w:rsidRPr="0026194B">
        <w:rPr>
          <w:sz w:val="22"/>
          <w:szCs w:val="22"/>
        </w:rPr>
        <w:t xml:space="preserve">record the rollover of CFF to </w:t>
      </w:r>
      <w:r w:rsidR="004E5602">
        <w:rPr>
          <w:sz w:val="22"/>
          <w:szCs w:val="22"/>
        </w:rPr>
        <w:t>c</w:t>
      </w:r>
      <w:r w:rsidRPr="0026194B">
        <w:rPr>
          <w:sz w:val="22"/>
          <w:szCs w:val="22"/>
        </w:rPr>
        <w:t>ompact funding, a partial termination of funds, or a shift between MCC</w:t>
      </w:r>
      <w:r w:rsidR="005222F9">
        <w:rPr>
          <w:sz w:val="22"/>
          <w:szCs w:val="22"/>
        </w:rPr>
        <w:t>-managed</w:t>
      </w:r>
      <w:r w:rsidRPr="0026194B">
        <w:rPr>
          <w:sz w:val="22"/>
          <w:szCs w:val="22"/>
        </w:rPr>
        <w:t xml:space="preserve"> and AE</w:t>
      </w:r>
      <w:r w:rsidR="005222F9">
        <w:rPr>
          <w:sz w:val="22"/>
          <w:szCs w:val="22"/>
        </w:rPr>
        <w:t>-</w:t>
      </w:r>
      <w:r w:rsidRPr="0026194B">
        <w:rPr>
          <w:sz w:val="22"/>
          <w:szCs w:val="22"/>
        </w:rPr>
        <w:t>managed funding</w:t>
      </w:r>
      <w:r w:rsidRPr="0026194B">
        <w:rPr>
          <w:rFonts w:eastAsia="Calibri"/>
          <w:sz w:val="22"/>
          <w:szCs w:val="22"/>
        </w:rPr>
        <w:t xml:space="preserve">. Schedule A </w:t>
      </w:r>
      <w:r w:rsidR="001271D1">
        <w:rPr>
          <w:rFonts w:eastAsia="Calibri"/>
          <w:sz w:val="22"/>
          <w:szCs w:val="22"/>
        </w:rPr>
        <w:t>must</w:t>
      </w:r>
      <w:r w:rsidR="001271D1" w:rsidRPr="0026194B" w:rsidDel="00747AC5">
        <w:rPr>
          <w:rFonts w:eastAsia="Calibri"/>
          <w:sz w:val="22"/>
          <w:szCs w:val="22"/>
        </w:rPr>
        <w:t xml:space="preserve"> </w:t>
      </w:r>
      <w:r w:rsidRPr="0026194B" w:rsidDel="00747AC5">
        <w:rPr>
          <w:rFonts w:eastAsia="Calibri"/>
          <w:sz w:val="22"/>
          <w:szCs w:val="22"/>
        </w:rPr>
        <w:t>be</w:t>
      </w:r>
      <w:r w:rsidRPr="0026194B">
        <w:rPr>
          <w:rFonts w:eastAsia="Calibri"/>
          <w:sz w:val="22"/>
          <w:szCs w:val="22"/>
        </w:rPr>
        <w:t xml:space="preserve"> submitted </w:t>
      </w:r>
      <w:r w:rsidRPr="0026194B" w:rsidDel="00747AC5">
        <w:rPr>
          <w:rFonts w:eastAsia="Calibri"/>
          <w:sz w:val="22"/>
          <w:szCs w:val="22"/>
        </w:rPr>
        <w:t>even if</w:t>
      </w:r>
      <w:r w:rsidRPr="0026194B">
        <w:rPr>
          <w:rFonts w:eastAsia="Calibri"/>
          <w:sz w:val="22"/>
          <w:szCs w:val="22"/>
        </w:rPr>
        <w:t xml:space="preserve"> </w:t>
      </w:r>
      <w:r w:rsidRPr="0026194B" w:rsidDel="00747AC5">
        <w:rPr>
          <w:rFonts w:eastAsia="Calibri"/>
          <w:sz w:val="22"/>
          <w:szCs w:val="22"/>
        </w:rPr>
        <w:t xml:space="preserve">no </w:t>
      </w:r>
      <w:r w:rsidRPr="0026194B">
        <w:rPr>
          <w:rFonts w:eastAsia="Calibri"/>
          <w:sz w:val="22"/>
          <w:szCs w:val="22"/>
        </w:rPr>
        <w:t xml:space="preserve">changes in the MYFP </w:t>
      </w:r>
      <w:r w:rsidRPr="0026194B" w:rsidDel="00747AC5">
        <w:rPr>
          <w:rFonts w:eastAsia="Calibri"/>
          <w:sz w:val="22"/>
          <w:szCs w:val="22"/>
        </w:rPr>
        <w:t xml:space="preserve">are </w:t>
      </w:r>
      <w:r w:rsidRPr="0026194B">
        <w:rPr>
          <w:rFonts w:eastAsia="Calibri"/>
          <w:sz w:val="22"/>
          <w:szCs w:val="22"/>
        </w:rPr>
        <w:t xml:space="preserve">being proposed. </w:t>
      </w:r>
    </w:p>
    <w:p w14:paraId="7B5812A3" w14:textId="77777777" w:rsidR="00B42F22" w:rsidRPr="0026194B" w:rsidRDefault="00B42F22" w:rsidP="008D40F4">
      <w:pPr>
        <w:autoSpaceDE w:val="0"/>
        <w:autoSpaceDN w:val="0"/>
        <w:adjustRightInd w:val="0"/>
        <w:ind w:right="-40"/>
        <w:jc w:val="both"/>
        <w:rPr>
          <w:rFonts w:eastAsia="Calibri"/>
          <w:sz w:val="22"/>
          <w:szCs w:val="22"/>
        </w:rPr>
      </w:pPr>
    </w:p>
    <w:p w14:paraId="7CCFEDE6" w14:textId="4C61C272" w:rsidR="00B42F22" w:rsidRPr="0026194B" w:rsidRDefault="00B42F22" w:rsidP="008D40F4">
      <w:pPr>
        <w:autoSpaceDE w:val="0"/>
        <w:autoSpaceDN w:val="0"/>
        <w:adjustRightInd w:val="0"/>
        <w:ind w:right="-40"/>
        <w:jc w:val="both"/>
        <w:rPr>
          <w:rFonts w:eastAsia="Calibri"/>
          <w:sz w:val="22"/>
          <w:szCs w:val="22"/>
        </w:rPr>
      </w:pPr>
      <w:r w:rsidRPr="0026194B">
        <w:rPr>
          <w:rFonts w:eastAsia="Calibri"/>
          <w:sz w:val="22"/>
          <w:szCs w:val="22"/>
        </w:rPr>
        <w:t xml:space="preserve">Variance between the current approved MYFP and the </w:t>
      </w:r>
      <w:r w:rsidR="00347131" w:rsidRPr="0026194B">
        <w:rPr>
          <w:rFonts w:eastAsia="Calibri"/>
          <w:sz w:val="22"/>
          <w:szCs w:val="22"/>
        </w:rPr>
        <w:t>DFP-cash</w:t>
      </w:r>
      <w:r w:rsidRPr="0026194B">
        <w:rPr>
          <w:rFonts w:eastAsia="Calibri"/>
          <w:sz w:val="22"/>
          <w:szCs w:val="22"/>
        </w:rPr>
        <w:t xml:space="preserve"> and </w:t>
      </w:r>
      <w:r w:rsidR="00347131" w:rsidRPr="0026194B">
        <w:rPr>
          <w:rFonts w:eastAsia="Calibri"/>
          <w:sz w:val="22"/>
          <w:szCs w:val="22"/>
        </w:rPr>
        <w:t>DFP-commitments</w:t>
      </w:r>
      <w:r w:rsidRPr="0026194B">
        <w:rPr>
          <w:rFonts w:eastAsia="Calibri"/>
          <w:sz w:val="22"/>
          <w:szCs w:val="22"/>
        </w:rPr>
        <w:t xml:space="preserve"> as currently forecasted does not automatically result in a formal request for reallocation of funds via Schedule A. If the risk of over-commitment arises, imbalances reported via the variance columns in the DFPs can be corrected by virtue of proposing a formal change to the MYFP.</w:t>
      </w:r>
    </w:p>
    <w:p w14:paraId="4FE69D0B" w14:textId="77777777" w:rsidR="00B42F22" w:rsidRPr="0026194B" w:rsidRDefault="00B42F22" w:rsidP="008D40F4">
      <w:pPr>
        <w:autoSpaceDE w:val="0"/>
        <w:autoSpaceDN w:val="0"/>
        <w:adjustRightInd w:val="0"/>
        <w:ind w:right="-40"/>
        <w:jc w:val="both"/>
        <w:rPr>
          <w:rFonts w:eastAsia="Calibri"/>
          <w:sz w:val="22"/>
          <w:szCs w:val="22"/>
        </w:rPr>
      </w:pPr>
      <w:r w:rsidRPr="0026194B">
        <w:rPr>
          <w:rFonts w:eastAsia="Calibri"/>
          <w:sz w:val="22"/>
          <w:szCs w:val="22"/>
        </w:rPr>
        <w:t xml:space="preserve"> </w:t>
      </w:r>
      <w:r w:rsidRPr="0026194B">
        <w:rPr>
          <w:rFonts w:eastAsia="Calibri"/>
          <w:sz w:val="22"/>
          <w:szCs w:val="22"/>
        </w:rPr>
        <w:br/>
      </w:r>
      <w:bookmarkStart w:id="5" w:name="_Hlk37234542"/>
      <w:r w:rsidRPr="0026194B">
        <w:rPr>
          <w:rFonts w:eastAsia="Calibri"/>
          <w:sz w:val="22"/>
          <w:szCs w:val="22"/>
        </w:rPr>
        <w:t>All amounts shown on Schedule A must be presented in dollars and cents to two decimal places.</w:t>
      </w:r>
      <w:bookmarkEnd w:id="5"/>
    </w:p>
    <w:p w14:paraId="5D239F03" w14:textId="77777777" w:rsidR="00B42F22" w:rsidRPr="0026194B" w:rsidRDefault="00B42F22" w:rsidP="008D40F4">
      <w:pPr>
        <w:autoSpaceDE w:val="0"/>
        <w:autoSpaceDN w:val="0"/>
        <w:adjustRightInd w:val="0"/>
        <w:ind w:right="-40"/>
        <w:jc w:val="both"/>
        <w:rPr>
          <w:rFonts w:eastAsia="Calibri"/>
          <w:sz w:val="22"/>
          <w:szCs w:val="22"/>
        </w:rPr>
      </w:pPr>
    </w:p>
    <w:p w14:paraId="3A982522" w14:textId="3CFB023A" w:rsidR="00B42F22" w:rsidRPr="0026194B" w:rsidRDefault="00B42F22" w:rsidP="008D40F4">
      <w:pPr>
        <w:pStyle w:val="Heading3"/>
        <w:jc w:val="both"/>
        <w:rPr>
          <w:rFonts w:ascii="Times New Roman" w:hAnsi="Times New Roman" w:cs="Times New Roman"/>
        </w:rPr>
      </w:pPr>
      <w:bookmarkStart w:id="6" w:name="_Toc159578689"/>
      <w:r w:rsidRPr="0026194B">
        <w:rPr>
          <w:rFonts w:ascii="Times New Roman" w:hAnsi="Times New Roman" w:cs="Times New Roman"/>
        </w:rPr>
        <w:t>Columns in Schedule A</w:t>
      </w:r>
      <w:bookmarkEnd w:id="6"/>
      <w:r w:rsidRPr="0026194B">
        <w:rPr>
          <w:rFonts w:ascii="Times New Roman" w:hAnsi="Times New Roman" w:cs="Times New Roman"/>
        </w:rPr>
        <w:t xml:space="preserve"> </w:t>
      </w:r>
    </w:p>
    <w:p w14:paraId="79D56A88" w14:textId="286FCA51" w:rsidR="00B42F22" w:rsidRPr="0026194B" w:rsidRDefault="00B42F22" w:rsidP="008D40F4">
      <w:pPr>
        <w:jc w:val="both"/>
        <w:rPr>
          <w:sz w:val="22"/>
          <w:szCs w:val="22"/>
        </w:rPr>
      </w:pPr>
      <w:r w:rsidRPr="0026194B">
        <w:rPr>
          <w:sz w:val="22"/>
          <w:szCs w:val="22"/>
        </w:rPr>
        <w:t xml:space="preserve">The descriptions below provide additional information on the columns in Schedule A. </w:t>
      </w:r>
    </w:p>
    <w:p w14:paraId="0B64D3CD" w14:textId="77777777" w:rsidR="00B42F22" w:rsidRPr="0026194B" w:rsidRDefault="00B42F22" w:rsidP="008D40F4">
      <w:pPr>
        <w:jc w:val="both"/>
        <w:rPr>
          <w:rFonts w:eastAsia="Calibri"/>
          <w:sz w:val="22"/>
          <w:szCs w:val="22"/>
        </w:rPr>
      </w:pPr>
      <w:r w:rsidRPr="0026194B">
        <w:rPr>
          <w:rFonts w:eastAsia="Calibri"/>
          <w:i/>
          <w:iCs/>
          <w:sz w:val="22"/>
          <w:szCs w:val="22"/>
        </w:rPr>
        <w:t xml:space="preserve"> </w:t>
      </w:r>
    </w:p>
    <w:p w14:paraId="361E24A2" w14:textId="49241BC7" w:rsidR="00B42F22" w:rsidRPr="0026194B" w:rsidRDefault="00B42F22" w:rsidP="008D40F4">
      <w:pPr>
        <w:ind w:right="-40"/>
        <w:jc w:val="both"/>
        <w:rPr>
          <w:rFonts w:eastAsia="Calibri"/>
          <w:sz w:val="22"/>
          <w:szCs w:val="22"/>
        </w:rPr>
      </w:pPr>
      <w:r w:rsidRPr="667E886F">
        <w:rPr>
          <w:rFonts w:eastAsia="Calibri"/>
          <w:b/>
          <w:bCs/>
          <w:i/>
          <w:iCs/>
          <w:sz w:val="22"/>
          <w:szCs w:val="22"/>
        </w:rPr>
        <w:lastRenderedPageBreak/>
        <w:t>Original Program Budget (from the Grant's Multi-Year Financial Plan)</w:t>
      </w:r>
      <w:r w:rsidR="00742883">
        <w:rPr>
          <w:rFonts w:eastAsia="Calibri"/>
          <w:b/>
          <w:bCs/>
          <w:i/>
          <w:iCs/>
          <w:sz w:val="22"/>
          <w:szCs w:val="22"/>
        </w:rPr>
        <w:t xml:space="preserve"> </w:t>
      </w:r>
      <w:r w:rsidR="00742883">
        <w:rPr>
          <w:rFonts w:eastAsia="Calibri"/>
          <w:sz w:val="22"/>
          <w:szCs w:val="22"/>
        </w:rPr>
        <w:t>(</w:t>
      </w:r>
      <w:r w:rsidR="00742883" w:rsidRPr="667E886F">
        <w:rPr>
          <w:rFonts w:eastAsia="Calibri"/>
          <w:sz w:val="22"/>
          <w:szCs w:val="22"/>
        </w:rPr>
        <w:t xml:space="preserve">Column </w:t>
      </w:r>
      <w:r w:rsidR="00742883">
        <w:rPr>
          <w:rFonts w:eastAsia="Calibri"/>
          <w:sz w:val="22"/>
          <w:szCs w:val="22"/>
        </w:rPr>
        <w:t>1)</w:t>
      </w:r>
      <w:r w:rsidRPr="667E886F">
        <w:rPr>
          <w:rFonts w:eastAsia="Calibri"/>
          <w:i/>
          <w:iCs/>
          <w:sz w:val="22"/>
          <w:szCs w:val="22"/>
        </w:rPr>
        <w:t xml:space="preserve">: </w:t>
      </w:r>
      <w:r w:rsidR="003610FC">
        <w:rPr>
          <w:rFonts w:eastAsia="Calibri"/>
          <w:sz w:val="22"/>
          <w:szCs w:val="22"/>
        </w:rPr>
        <w:t xml:space="preserve">This </w:t>
      </w:r>
      <w:r w:rsidR="60E31BB6" w:rsidRPr="667E886F">
        <w:rPr>
          <w:rFonts w:eastAsia="Calibri"/>
          <w:sz w:val="22"/>
          <w:szCs w:val="22"/>
        </w:rPr>
        <w:t>column</w:t>
      </w:r>
      <w:r w:rsidR="00CD5A46">
        <w:rPr>
          <w:rFonts w:eastAsia="Calibri"/>
          <w:sz w:val="22"/>
          <w:szCs w:val="22"/>
        </w:rPr>
        <w:t xml:space="preserve">, populated by MCC </w:t>
      </w:r>
      <w:r w:rsidR="00163BF2">
        <w:rPr>
          <w:rFonts w:eastAsia="Calibri"/>
          <w:sz w:val="22"/>
          <w:szCs w:val="22"/>
        </w:rPr>
        <w:t>during the initial set up in MCC MIS,</w:t>
      </w:r>
      <w:r w:rsidR="003610FC">
        <w:rPr>
          <w:rFonts w:eastAsia="Calibri"/>
          <w:sz w:val="22"/>
          <w:szCs w:val="22"/>
        </w:rPr>
        <w:t xml:space="preserve"> provides</w:t>
      </w:r>
      <w:r w:rsidR="1BD3C5AC" w:rsidRPr="667E886F">
        <w:rPr>
          <w:rFonts w:eastAsia="Calibri"/>
          <w:sz w:val="22"/>
          <w:szCs w:val="22"/>
        </w:rPr>
        <w:t xml:space="preserve"> the </w:t>
      </w:r>
      <w:r w:rsidR="007B40A1">
        <w:rPr>
          <w:rFonts w:eastAsia="Calibri"/>
          <w:sz w:val="22"/>
          <w:szCs w:val="22"/>
        </w:rPr>
        <w:t xml:space="preserve">total </w:t>
      </w:r>
      <w:r w:rsidR="1BD3C5AC" w:rsidRPr="667E886F">
        <w:rPr>
          <w:rFonts w:eastAsia="Calibri"/>
          <w:sz w:val="22"/>
          <w:szCs w:val="22"/>
        </w:rPr>
        <w:t>values from the grant’s MYFP</w:t>
      </w:r>
      <w:r w:rsidR="003610FC">
        <w:rPr>
          <w:rFonts w:eastAsia="Calibri"/>
          <w:sz w:val="22"/>
          <w:szCs w:val="22"/>
        </w:rPr>
        <w:t xml:space="preserve"> and</w:t>
      </w:r>
      <w:r w:rsidR="1BD3C5AC" w:rsidRPr="667E886F">
        <w:rPr>
          <w:rFonts w:eastAsia="Calibri"/>
          <w:sz w:val="22"/>
          <w:szCs w:val="22"/>
        </w:rPr>
        <w:t xml:space="preserve"> </w:t>
      </w:r>
      <w:r w:rsidRPr="667E886F">
        <w:rPr>
          <w:rFonts w:eastAsia="Calibri"/>
          <w:sz w:val="22"/>
          <w:szCs w:val="22"/>
        </w:rPr>
        <w:t>do</w:t>
      </w:r>
      <w:r w:rsidR="003610FC">
        <w:rPr>
          <w:rFonts w:eastAsia="Calibri"/>
          <w:sz w:val="22"/>
          <w:szCs w:val="22"/>
        </w:rPr>
        <w:t>es</w:t>
      </w:r>
      <w:r w:rsidRPr="667E886F">
        <w:rPr>
          <w:rFonts w:eastAsia="Calibri"/>
          <w:sz w:val="22"/>
          <w:szCs w:val="22"/>
        </w:rPr>
        <w:t xml:space="preserve"> not change </w:t>
      </w:r>
      <w:bookmarkStart w:id="7" w:name="_Hlk42255459"/>
      <w:r w:rsidR="47661552" w:rsidRPr="667E886F">
        <w:rPr>
          <w:rFonts w:eastAsia="Calibri"/>
          <w:sz w:val="22"/>
          <w:szCs w:val="22"/>
        </w:rPr>
        <w:t>throughout the life of the grant</w:t>
      </w:r>
      <w:bookmarkEnd w:id="7"/>
      <w:r w:rsidR="47661552" w:rsidRPr="667E886F">
        <w:rPr>
          <w:rFonts w:eastAsia="Calibri"/>
          <w:sz w:val="22"/>
          <w:szCs w:val="22"/>
        </w:rPr>
        <w:t xml:space="preserve">. </w:t>
      </w:r>
      <w:r w:rsidR="2199F357" w:rsidRPr="003E317B">
        <w:rPr>
          <w:rFonts w:eastAsia="Calibri"/>
          <w:sz w:val="22"/>
          <w:szCs w:val="22"/>
        </w:rPr>
        <w:t>N</w:t>
      </w:r>
      <w:r w:rsidRPr="667E886F">
        <w:rPr>
          <w:rFonts w:eastAsia="Calibri"/>
          <w:sz w:val="22"/>
          <w:szCs w:val="22"/>
        </w:rPr>
        <w:t xml:space="preserve">o action is required </w:t>
      </w:r>
      <w:r w:rsidR="0E6181E6" w:rsidRPr="667E886F">
        <w:rPr>
          <w:rFonts w:eastAsia="Calibri"/>
          <w:sz w:val="22"/>
          <w:szCs w:val="22"/>
        </w:rPr>
        <w:t>by the AE</w:t>
      </w:r>
      <w:r w:rsidRPr="667E886F">
        <w:rPr>
          <w:rFonts w:eastAsia="Calibri"/>
          <w:sz w:val="22"/>
          <w:szCs w:val="22"/>
        </w:rPr>
        <w:t xml:space="preserve">. </w:t>
      </w:r>
    </w:p>
    <w:p w14:paraId="3D70276E" w14:textId="77777777" w:rsidR="00B42F22" w:rsidRPr="0026194B" w:rsidRDefault="00B42F22" w:rsidP="008D40F4">
      <w:pPr>
        <w:autoSpaceDE w:val="0"/>
        <w:autoSpaceDN w:val="0"/>
        <w:adjustRightInd w:val="0"/>
        <w:ind w:right="-40"/>
        <w:jc w:val="both"/>
        <w:rPr>
          <w:rFonts w:eastAsia="Calibri"/>
          <w:sz w:val="22"/>
          <w:szCs w:val="22"/>
        </w:rPr>
      </w:pPr>
      <w:r w:rsidRPr="0026194B">
        <w:rPr>
          <w:rFonts w:eastAsia="Calibri"/>
          <w:i/>
          <w:iCs/>
          <w:sz w:val="22"/>
          <w:szCs w:val="22"/>
        </w:rPr>
        <w:t xml:space="preserve"> </w:t>
      </w:r>
    </w:p>
    <w:p w14:paraId="12A572DE" w14:textId="5129B156" w:rsidR="00B42F22" w:rsidRPr="0026194B" w:rsidRDefault="00B42F22" w:rsidP="008D40F4">
      <w:pPr>
        <w:spacing w:line="259" w:lineRule="auto"/>
        <w:ind w:right="-40"/>
        <w:jc w:val="both"/>
        <w:rPr>
          <w:rFonts w:eastAsia="Calibri"/>
          <w:sz w:val="22"/>
          <w:szCs w:val="22"/>
        </w:rPr>
      </w:pPr>
      <w:r w:rsidRPr="09F88D91">
        <w:rPr>
          <w:rFonts w:eastAsia="Calibri"/>
          <w:b/>
          <w:bCs/>
          <w:i/>
          <w:iCs/>
          <w:sz w:val="22"/>
          <w:szCs w:val="22"/>
        </w:rPr>
        <w:t>Current Approved Multi-Year Financial Plan</w:t>
      </w:r>
      <w:r w:rsidR="00CC1022" w:rsidRPr="09F88D91">
        <w:rPr>
          <w:rFonts w:eastAsia="Calibri"/>
          <w:b/>
          <w:bCs/>
          <w:i/>
          <w:iCs/>
          <w:sz w:val="22"/>
          <w:szCs w:val="22"/>
        </w:rPr>
        <w:t xml:space="preserve"> </w:t>
      </w:r>
      <w:r w:rsidR="00CC1022" w:rsidRPr="09F88D91">
        <w:rPr>
          <w:rFonts w:eastAsia="Calibri"/>
          <w:sz w:val="22"/>
          <w:szCs w:val="22"/>
        </w:rPr>
        <w:t>(Column 2)</w:t>
      </w:r>
      <w:r w:rsidRPr="09F88D91">
        <w:rPr>
          <w:rFonts w:eastAsia="Calibri"/>
          <w:i/>
          <w:iCs/>
          <w:sz w:val="22"/>
          <w:szCs w:val="22"/>
        </w:rPr>
        <w:t>:</w:t>
      </w:r>
      <w:r w:rsidRPr="09F88D91">
        <w:rPr>
          <w:rFonts w:eastAsia="Calibri"/>
          <w:sz w:val="22"/>
          <w:szCs w:val="22"/>
        </w:rPr>
        <w:t xml:space="preserve"> </w:t>
      </w:r>
      <w:r w:rsidR="003610FC" w:rsidRPr="09F88D91">
        <w:rPr>
          <w:rFonts w:eastAsia="Calibri"/>
          <w:sz w:val="22"/>
          <w:szCs w:val="22"/>
        </w:rPr>
        <w:t xml:space="preserve">This column </w:t>
      </w:r>
      <w:r w:rsidRPr="09F88D91">
        <w:rPr>
          <w:rFonts w:eastAsia="Calibri"/>
          <w:sz w:val="22"/>
          <w:szCs w:val="22"/>
        </w:rPr>
        <w:t xml:space="preserve">reflects </w:t>
      </w:r>
      <w:r w:rsidR="60B889F3" w:rsidRPr="09F88D91">
        <w:rPr>
          <w:rFonts w:eastAsia="Calibri"/>
          <w:sz w:val="22"/>
          <w:szCs w:val="22"/>
        </w:rPr>
        <w:t xml:space="preserve">the </w:t>
      </w:r>
      <w:r w:rsidR="391CDEE2" w:rsidRPr="09F88D91">
        <w:rPr>
          <w:rFonts w:eastAsia="Calibri"/>
          <w:sz w:val="22"/>
          <w:szCs w:val="22"/>
        </w:rPr>
        <w:t xml:space="preserve">grant’s </w:t>
      </w:r>
      <w:r w:rsidR="60B889F3" w:rsidRPr="09F88D91">
        <w:rPr>
          <w:rFonts w:eastAsia="Calibri"/>
          <w:sz w:val="22"/>
          <w:szCs w:val="22"/>
        </w:rPr>
        <w:t xml:space="preserve">original </w:t>
      </w:r>
      <w:r w:rsidR="7700BF6D" w:rsidRPr="09F88D91">
        <w:rPr>
          <w:rFonts w:eastAsia="Calibri"/>
          <w:sz w:val="22"/>
          <w:szCs w:val="22"/>
        </w:rPr>
        <w:t>MYFP</w:t>
      </w:r>
      <w:r w:rsidR="60B889F3" w:rsidRPr="09F88D91">
        <w:rPr>
          <w:rFonts w:eastAsia="Calibri"/>
          <w:sz w:val="22"/>
          <w:szCs w:val="22"/>
        </w:rPr>
        <w:t xml:space="preserve"> plus </w:t>
      </w:r>
      <w:r w:rsidRPr="09F88D91">
        <w:rPr>
          <w:rFonts w:eastAsia="Calibri"/>
          <w:sz w:val="22"/>
          <w:szCs w:val="22"/>
        </w:rPr>
        <w:t xml:space="preserve">cumulative </w:t>
      </w:r>
      <w:r w:rsidR="06DEEB41" w:rsidRPr="09F88D91">
        <w:rPr>
          <w:rFonts w:eastAsia="Calibri"/>
          <w:sz w:val="22"/>
          <w:szCs w:val="22"/>
        </w:rPr>
        <w:t xml:space="preserve">approved </w:t>
      </w:r>
      <w:r w:rsidRPr="09F88D91">
        <w:rPr>
          <w:rFonts w:eastAsia="Calibri"/>
          <w:sz w:val="22"/>
          <w:szCs w:val="22"/>
        </w:rPr>
        <w:t>adjustments to the MYFP. Column 2 contains the full compact or grant amount by project and activity and the grand total of this column must match the grand total of Column 1.  Exceptions are limited to net increases/decreases to reflect amendments to the compact or grant agreements, rollovers from one fund type to another,</w:t>
      </w:r>
      <w:r w:rsidR="005721AA">
        <w:rPr>
          <w:rFonts w:eastAsia="Calibri"/>
          <w:sz w:val="22"/>
          <w:szCs w:val="22"/>
        </w:rPr>
        <w:t xml:space="preserve"> changes to overall program amounts</w:t>
      </w:r>
      <w:r w:rsidRPr="09F88D91">
        <w:rPr>
          <w:rFonts w:eastAsia="Calibri"/>
          <w:sz w:val="22"/>
          <w:szCs w:val="22"/>
        </w:rPr>
        <w:t xml:space="preserve"> and movements approved by MCC between MCC-managed and AE-managed funds.</w:t>
      </w:r>
    </w:p>
    <w:p w14:paraId="70346232" w14:textId="77777777" w:rsidR="00B42F22" w:rsidRPr="0026194B" w:rsidRDefault="00B42F22" w:rsidP="008D40F4">
      <w:pPr>
        <w:autoSpaceDE w:val="0"/>
        <w:autoSpaceDN w:val="0"/>
        <w:adjustRightInd w:val="0"/>
        <w:ind w:right="-40"/>
        <w:jc w:val="both"/>
        <w:rPr>
          <w:rFonts w:eastAsia="Calibri"/>
          <w:sz w:val="22"/>
          <w:szCs w:val="22"/>
        </w:rPr>
      </w:pPr>
    </w:p>
    <w:p w14:paraId="24A8172B" w14:textId="2E79832D" w:rsidR="00B42F22" w:rsidRPr="0026194B" w:rsidRDefault="00B42F22" w:rsidP="008D40F4">
      <w:pPr>
        <w:autoSpaceDE w:val="0"/>
        <w:autoSpaceDN w:val="0"/>
        <w:adjustRightInd w:val="0"/>
        <w:ind w:right="-40"/>
        <w:jc w:val="both"/>
        <w:rPr>
          <w:rFonts w:eastAsia="Calibri"/>
          <w:sz w:val="22"/>
          <w:szCs w:val="22"/>
        </w:rPr>
      </w:pPr>
      <w:r w:rsidRPr="667E886F">
        <w:rPr>
          <w:rFonts w:eastAsia="Calibri"/>
          <w:b/>
          <w:bCs/>
          <w:i/>
          <w:iCs/>
          <w:sz w:val="22"/>
          <w:szCs w:val="22"/>
        </w:rPr>
        <w:t>Proposed Adjustments</w:t>
      </w:r>
      <w:r w:rsidR="00BF11D9">
        <w:rPr>
          <w:rFonts w:eastAsia="Calibri"/>
          <w:b/>
          <w:bCs/>
          <w:i/>
          <w:iCs/>
          <w:sz w:val="22"/>
          <w:szCs w:val="22"/>
        </w:rPr>
        <w:t xml:space="preserve"> </w:t>
      </w:r>
      <w:r w:rsidR="00BF11D9">
        <w:rPr>
          <w:rFonts w:eastAsia="Calibri"/>
          <w:sz w:val="22"/>
          <w:szCs w:val="22"/>
        </w:rPr>
        <w:t>(</w:t>
      </w:r>
      <w:r w:rsidR="00BF11D9" w:rsidRPr="667E886F">
        <w:rPr>
          <w:rFonts w:eastAsia="Calibri"/>
          <w:sz w:val="22"/>
          <w:szCs w:val="22"/>
        </w:rPr>
        <w:t>Column</w:t>
      </w:r>
      <w:r w:rsidR="00BF11D9">
        <w:rPr>
          <w:rFonts w:eastAsia="Calibri"/>
          <w:sz w:val="22"/>
          <w:szCs w:val="22"/>
        </w:rPr>
        <w:t>s 3 and 4)</w:t>
      </w:r>
      <w:r w:rsidRPr="667E886F">
        <w:rPr>
          <w:rFonts w:eastAsia="Calibri"/>
          <w:i/>
          <w:iCs/>
          <w:sz w:val="22"/>
          <w:szCs w:val="22"/>
        </w:rPr>
        <w:t>:</w:t>
      </w:r>
      <w:r w:rsidRPr="667E886F">
        <w:rPr>
          <w:rFonts w:eastAsia="Calibri"/>
          <w:sz w:val="22"/>
          <w:szCs w:val="22"/>
        </w:rPr>
        <w:t xml:space="preserve"> Proposed MYFP increases and decrease</w:t>
      </w:r>
      <w:r w:rsidR="007B0ADA" w:rsidRPr="667E886F">
        <w:rPr>
          <w:rFonts w:eastAsia="Calibri"/>
          <w:sz w:val="22"/>
          <w:szCs w:val="22"/>
        </w:rPr>
        <w:t>s</w:t>
      </w:r>
      <w:r w:rsidRPr="667E886F">
        <w:rPr>
          <w:rFonts w:eastAsia="Calibri"/>
          <w:sz w:val="22"/>
          <w:szCs w:val="22"/>
        </w:rPr>
        <w:t xml:space="preserve"> for each project and activity are entered in Columns 3 and 4, respectively. All amounts are displayed as positive numbers. The total of Column 3 must</w:t>
      </w:r>
      <w:r w:rsidR="00EA008B">
        <w:rPr>
          <w:rFonts w:eastAsia="Calibri"/>
          <w:sz w:val="22"/>
          <w:szCs w:val="22"/>
        </w:rPr>
        <w:t xml:space="preserve"> typically</w:t>
      </w:r>
      <w:r w:rsidRPr="667E886F">
        <w:rPr>
          <w:rFonts w:eastAsia="Calibri"/>
          <w:sz w:val="22"/>
          <w:szCs w:val="22"/>
        </w:rPr>
        <w:t xml:space="preserve"> equal the total in Column 4, as the increases and decreases should not change the overall budget total for all projects and activities. As with Column 2, exceptions are limited to net increases/decreases to reflect amendments to the compact or grant agreements, rollovers from one fund type to another,</w:t>
      </w:r>
      <w:r w:rsidR="00275E0C">
        <w:rPr>
          <w:rFonts w:eastAsia="Calibri"/>
          <w:sz w:val="22"/>
          <w:szCs w:val="22"/>
        </w:rPr>
        <w:t xml:space="preserve"> changes to overall program amounts</w:t>
      </w:r>
      <w:r w:rsidRPr="667E886F">
        <w:rPr>
          <w:rFonts w:eastAsia="Calibri"/>
          <w:sz w:val="22"/>
          <w:szCs w:val="22"/>
        </w:rPr>
        <w:t xml:space="preserve"> movements approved by MCC between MCC-managed and AE-managed funds</w:t>
      </w:r>
      <w:r w:rsidR="008A62BD">
        <w:rPr>
          <w:rFonts w:eastAsia="Calibri"/>
          <w:sz w:val="22"/>
          <w:szCs w:val="22"/>
        </w:rPr>
        <w:t>, and grant closeout</w:t>
      </w:r>
      <w:r w:rsidRPr="667E886F">
        <w:rPr>
          <w:rFonts w:eastAsia="Calibri"/>
          <w:sz w:val="22"/>
          <w:szCs w:val="22"/>
        </w:rPr>
        <w:t>.</w:t>
      </w:r>
      <w:bookmarkStart w:id="8" w:name="_Hlk35619351"/>
    </w:p>
    <w:bookmarkEnd w:id="8"/>
    <w:p w14:paraId="5F8DA1F6" w14:textId="77777777" w:rsidR="00B42F22" w:rsidRPr="0026194B" w:rsidRDefault="00B42F22" w:rsidP="008D40F4">
      <w:pPr>
        <w:autoSpaceDE w:val="0"/>
        <w:autoSpaceDN w:val="0"/>
        <w:adjustRightInd w:val="0"/>
        <w:ind w:right="-40"/>
        <w:jc w:val="both"/>
        <w:rPr>
          <w:rFonts w:eastAsia="Calibri"/>
          <w:sz w:val="22"/>
          <w:szCs w:val="22"/>
        </w:rPr>
      </w:pPr>
      <w:r w:rsidRPr="0026194B">
        <w:rPr>
          <w:rFonts w:eastAsia="Calibri"/>
          <w:sz w:val="22"/>
          <w:szCs w:val="22"/>
        </w:rPr>
        <w:t xml:space="preserve"> </w:t>
      </w:r>
    </w:p>
    <w:p w14:paraId="578B564C" w14:textId="6A459860" w:rsidR="00B42F22" w:rsidRPr="0026194B" w:rsidRDefault="00B42F22" w:rsidP="008D40F4">
      <w:pPr>
        <w:spacing w:line="259" w:lineRule="auto"/>
        <w:ind w:right="-40"/>
        <w:jc w:val="both"/>
        <w:rPr>
          <w:rFonts w:eastAsia="Calibri"/>
          <w:sz w:val="22"/>
          <w:szCs w:val="22"/>
        </w:rPr>
      </w:pPr>
      <w:r w:rsidRPr="667E886F">
        <w:rPr>
          <w:rFonts w:eastAsia="Calibri"/>
          <w:b/>
          <w:bCs/>
          <w:i/>
          <w:iCs/>
          <w:sz w:val="22"/>
          <w:szCs w:val="22"/>
        </w:rPr>
        <w:t>Proposed Adjusted Multi-Year Financial Plan</w:t>
      </w:r>
      <w:r w:rsidR="00BF11D9">
        <w:rPr>
          <w:rFonts w:eastAsia="Calibri"/>
          <w:b/>
          <w:bCs/>
          <w:i/>
          <w:iCs/>
          <w:sz w:val="22"/>
          <w:szCs w:val="22"/>
        </w:rPr>
        <w:t xml:space="preserve"> </w:t>
      </w:r>
      <w:r w:rsidR="00BF11D9">
        <w:rPr>
          <w:rFonts w:eastAsia="Calibri"/>
          <w:sz w:val="22"/>
          <w:szCs w:val="22"/>
        </w:rPr>
        <w:t>(</w:t>
      </w:r>
      <w:r w:rsidR="00BF11D9" w:rsidRPr="667E886F">
        <w:rPr>
          <w:rFonts w:eastAsia="Calibri"/>
          <w:sz w:val="22"/>
          <w:szCs w:val="22"/>
        </w:rPr>
        <w:t xml:space="preserve">Column </w:t>
      </w:r>
      <w:r w:rsidR="00BF11D9">
        <w:rPr>
          <w:rFonts w:eastAsia="Calibri"/>
          <w:sz w:val="22"/>
          <w:szCs w:val="22"/>
        </w:rPr>
        <w:t>5)</w:t>
      </w:r>
      <w:r w:rsidRPr="667E886F">
        <w:rPr>
          <w:rFonts w:eastAsia="Calibri"/>
          <w:i/>
          <w:iCs/>
          <w:sz w:val="22"/>
          <w:szCs w:val="22"/>
        </w:rPr>
        <w:t>:</w:t>
      </w:r>
      <w:r w:rsidRPr="667E886F">
        <w:rPr>
          <w:rFonts w:eastAsia="Calibri"/>
          <w:sz w:val="22"/>
          <w:szCs w:val="22"/>
        </w:rPr>
        <w:t xml:space="preserve"> </w:t>
      </w:r>
      <w:r w:rsidR="00BF11D9">
        <w:rPr>
          <w:rFonts w:eastAsia="Calibri"/>
          <w:sz w:val="22"/>
          <w:szCs w:val="22"/>
        </w:rPr>
        <w:t>This column, which</w:t>
      </w:r>
      <w:r w:rsidRPr="667E886F">
        <w:rPr>
          <w:rFonts w:eastAsia="Calibri"/>
          <w:sz w:val="22"/>
          <w:szCs w:val="22"/>
        </w:rPr>
        <w:t xml:space="preserve"> </w:t>
      </w:r>
      <w:r w:rsidR="75CCBABE" w:rsidRPr="667E886F">
        <w:rPr>
          <w:rFonts w:eastAsia="Calibri"/>
          <w:sz w:val="22"/>
          <w:szCs w:val="22"/>
        </w:rPr>
        <w:t xml:space="preserve">contains values that are </w:t>
      </w:r>
      <w:r w:rsidRPr="667E886F">
        <w:rPr>
          <w:rFonts w:eastAsia="Calibri"/>
          <w:sz w:val="22"/>
          <w:szCs w:val="22"/>
        </w:rPr>
        <w:t>calculated automatically</w:t>
      </w:r>
      <w:r w:rsidR="1890150A" w:rsidRPr="667E886F">
        <w:rPr>
          <w:rFonts w:eastAsia="Calibri"/>
          <w:sz w:val="22"/>
          <w:szCs w:val="22"/>
        </w:rPr>
        <w:t>,</w:t>
      </w:r>
      <w:r w:rsidRPr="667E886F">
        <w:rPr>
          <w:rFonts w:eastAsia="Calibri"/>
          <w:sz w:val="22"/>
          <w:szCs w:val="22"/>
        </w:rPr>
        <w:t xml:space="preserve"> shows the adjusted </w:t>
      </w:r>
      <w:r w:rsidR="64529A3C" w:rsidRPr="003E317B">
        <w:rPr>
          <w:rFonts w:eastAsia="Calibri"/>
          <w:sz w:val="22"/>
          <w:szCs w:val="22"/>
        </w:rPr>
        <w:t>MYFP</w:t>
      </w:r>
      <w:r w:rsidRPr="667E886F">
        <w:rPr>
          <w:rFonts w:eastAsia="Calibri"/>
          <w:sz w:val="22"/>
          <w:szCs w:val="22"/>
        </w:rPr>
        <w:t xml:space="preserve"> proposed to be in place for the next period, after the proposed increases and decreases are approved. Column 5 is the result of adding the amounts across each row in Columns 2 and 3 then subtracting the amount in Column 4. </w:t>
      </w:r>
    </w:p>
    <w:p w14:paraId="177A8C16" w14:textId="77777777" w:rsidR="00B42F22" w:rsidRPr="0026194B" w:rsidRDefault="00B42F22" w:rsidP="009474C9">
      <w:pPr>
        <w:autoSpaceDE w:val="0"/>
        <w:autoSpaceDN w:val="0"/>
        <w:adjustRightInd w:val="0"/>
        <w:ind w:right="-40"/>
        <w:jc w:val="both"/>
        <w:rPr>
          <w:rFonts w:eastAsia="Calibri"/>
          <w:sz w:val="22"/>
          <w:szCs w:val="22"/>
        </w:rPr>
      </w:pPr>
    </w:p>
    <w:p w14:paraId="6CFB43E2" w14:textId="56551EFB" w:rsidR="009474C9" w:rsidRPr="00D122A1" w:rsidRDefault="009474C9" w:rsidP="009474C9">
      <w:pPr>
        <w:pStyle w:val="paragraph"/>
        <w:spacing w:before="0" w:beforeAutospacing="0" w:after="0" w:afterAutospacing="0"/>
        <w:ind w:right="-45"/>
        <w:jc w:val="both"/>
        <w:textAlignment w:val="baseline"/>
        <w:rPr>
          <w:sz w:val="22"/>
          <w:szCs w:val="22"/>
        </w:rPr>
      </w:pPr>
      <w:r w:rsidRPr="00D122A1">
        <w:rPr>
          <w:rStyle w:val="eop"/>
          <w:b/>
          <w:bCs/>
          <w:sz w:val="22"/>
          <w:szCs w:val="22"/>
        </w:rPr>
        <w:t>Note</w:t>
      </w:r>
      <w:r>
        <w:rPr>
          <w:rStyle w:val="eop"/>
          <w:sz w:val="22"/>
          <w:szCs w:val="22"/>
        </w:rPr>
        <w:t xml:space="preserve">:  MCC-MIS maintains a history of all approved Schedule A adjustments in </w:t>
      </w:r>
      <w:r w:rsidR="00B42F22" w:rsidRPr="00D122A1">
        <w:rPr>
          <w:rStyle w:val="eop"/>
          <w:rFonts w:eastAsia="Calibri"/>
          <w:i/>
          <w:sz w:val="22"/>
          <w:szCs w:val="22"/>
        </w:rPr>
        <w:t>Schedule B: Summary of Multi-Year Financial Plan Adjustments to Date</w:t>
      </w:r>
      <w:r>
        <w:rPr>
          <w:rStyle w:val="eop"/>
          <w:sz w:val="22"/>
          <w:szCs w:val="22"/>
        </w:rPr>
        <w:t xml:space="preserve">.  This Schedule is included in the </w:t>
      </w:r>
      <w:r>
        <w:rPr>
          <w:rStyle w:val="normaltextrun"/>
          <w:sz w:val="22"/>
          <w:szCs w:val="22"/>
        </w:rPr>
        <w:t>QDRP Export report, found in the “Reports” tab in MCC-MIS</w:t>
      </w:r>
      <w:r w:rsidR="0071282D">
        <w:rPr>
          <w:rStyle w:val="FootnoteReference"/>
          <w:sz w:val="22"/>
          <w:szCs w:val="22"/>
        </w:rPr>
        <w:footnoteReference w:id="4"/>
      </w:r>
      <w:r w:rsidR="00C81E2B">
        <w:rPr>
          <w:rStyle w:val="normaltextrun"/>
          <w:sz w:val="22"/>
          <w:szCs w:val="22"/>
        </w:rPr>
        <w:t>.</w:t>
      </w:r>
    </w:p>
    <w:p w14:paraId="5D714678" w14:textId="33197D93" w:rsidR="006D5E76" w:rsidRPr="0026194B" w:rsidRDefault="006D5E76" w:rsidP="008D40F4">
      <w:pPr>
        <w:autoSpaceDE w:val="0"/>
        <w:autoSpaceDN w:val="0"/>
        <w:adjustRightInd w:val="0"/>
        <w:ind w:right="-40"/>
        <w:jc w:val="both"/>
        <w:rPr>
          <w:rFonts w:eastAsia="Calibri"/>
          <w:sz w:val="22"/>
          <w:szCs w:val="22"/>
        </w:rPr>
      </w:pPr>
    </w:p>
    <w:p w14:paraId="32CE18DC" w14:textId="63F1FE17" w:rsidR="006D5E76" w:rsidRDefault="006D5E76" w:rsidP="008D40F4">
      <w:pPr>
        <w:pStyle w:val="Heading2"/>
        <w:jc w:val="both"/>
        <w:rPr>
          <w:rStyle w:val="Strong"/>
          <w:rFonts w:ascii="Times New Roman" w:hAnsi="Times New Roman" w:cs="Times New Roman"/>
          <w:sz w:val="22"/>
          <w:szCs w:val="22"/>
        </w:rPr>
      </w:pPr>
      <w:bookmarkStart w:id="9" w:name="_Toc159578690"/>
      <w:r w:rsidRPr="0026194B">
        <w:rPr>
          <w:rFonts w:ascii="Times New Roman" w:hAnsi="Times New Roman" w:cs="Times New Roman"/>
          <w:color w:val="0070C0"/>
          <w:sz w:val="28"/>
          <w:szCs w:val="28"/>
        </w:rPr>
        <w:t>D</w:t>
      </w:r>
      <w:r w:rsidR="00ED5746">
        <w:rPr>
          <w:rFonts w:ascii="Times New Roman" w:hAnsi="Times New Roman" w:cs="Times New Roman"/>
          <w:color w:val="0070C0"/>
          <w:sz w:val="28"/>
          <w:szCs w:val="28"/>
        </w:rPr>
        <w:t xml:space="preserve">etailed </w:t>
      </w:r>
      <w:r w:rsidRPr="0026194B">
        <w:rPr>
          <w:rFonts w:ascii="Times New Roman" w:hAnsi="Times New Roman" w:cs="Times New Roman"/>
          <w:color w:val="0070C0"/>
          <w:sz w:val="28"/>
          <w:szCs w:val="28"/>
        </w:rPr>
        <w:t>F</w:t>
      </w:r>
      <w:r w:rsidR="00ED5746">
        <w:rPr>
          <w:rFonts w:ascii="Times New Roman" w:hAnsi="Times New Roman" w:cs="Times New Roman"/>
          <w:color w:val="0070C0"/>
          <w:sz w:val="28"/>
          <w:szCs w:val="28"/>
        </w:rPr>
        <w:t xml:space="preserve">inancial </w:t>
      </w:r>
      <w:r w:rsidRPr="0026194B">
        <w:rPr>
          <w:rFonts w:ascii="Times New Roman" w:hAnsi="Times New Roman" w:cs="Times New Roman"/>
          <w:color w:val="0070C0"/>
          <w:sz w:val="28"/>
          <w:szCs w:val="28"/>
        </w:rPr>
        <w:t>P</w:t>
      </w:r>
      <w:r w:rsidR="00ED5746">
        <w:rPr>
          <w:rFonts w:ascii="Times New Roman" w:hAnsi="Times New Roman" w:cs="Times New Roman"/>
          <w:color w:val="0070C0"/>
          <w:sz w:val="28"/>
          <w:szCs w:val="28"/>
        </w:rPr>
        <w:t>lan</w:t>
      </w:r>
      <w:r w:rsidR="00347131" w:rsidRPr="0026194B">
        <w:rPr>
          <w:rFonts w:ascii="Times New Roman" w:hAnsi="Times New Roman" w:cs="Times New Roman"/>
          <w:color w:val="0070C0"/>
          <w:sz w:val="28"/>
          <w:szCs w:val="28"/>
        </w:rPr>
        <w:t>s (commitments and cash)</w:t>
      </w:r>
      <w:bookmarkEnd w:id="9"/>
      <w:r w:rsidRPr="0026194B">
        <w:rPr>
          <w:rStyle w:val="Strong"/>
          <w:rFonts w:ascii="Times New Roman" w:hAnsi="Times New Roman" w:cs="Times New Roman"/>
          <w:sz w:val="22"/>
          <w:szCs w:val="22"/>
        </w:rPr>
        <w:t xml:space="preserve"> </w:t>
      </w:r>
    </w:p>
    <w:p w14:paraId="45588294" w14:textId="0525AEE0" w:rsidR="009278A8" w:rsidRPr="009278A8" w:rsidRDefault="009278A8" w:rsidP="008D40F4">
      <w:pPr>
        <w:jc w:val="both"/>
      </w:pPr>
      <w:r w:rsidRPr="7338ADD8">
        <w:rPr>
          <w:sz w:val="22"/>
          <w:szCs w:val="22"/>
        </w:rPr>
        <w:t>The DFP-commitments and DFP-cash make up the DFP</w:t>
      </w:r>
      <w:r w:rsidR="00633153" w:rsidRPr="7338ADD8">
        <w:rPr>
          <w:sz w:val="22"/>
          <w:szCs w:val="22"/>
        </w:rPr>
        <w:t>s</w:t>
      </w:r>
      <w:r w:rsidRPr="7338ADD8">
        <w:rPr>
          <w:sz w:val="22"/>
          <w:szCs w:val="22"/>
        </w:rPr>
        <w:t xml:space="preserve">, which reflects the funding that the AE expects to commit and the disbursements it expects to make in accordance with program work plans, existing contracts, operational expenses, the Procurement </w:t>
      </w:r>
      <w:r w:rsidR="2BDC4E3D" w:rsidRPr="7338ADD8">
        <w:rPr>
          <w:sz w:val="22"/>
          <w:szCs w:val="22"/>
        </w:rPr>
        <w:t xml:space="preserve">and Grants </w:t>
      </w:r>
      <w:r w:rsidR="00FB4F89">
        <w:rPr>
          <w:sz w:val="22"/>
          <w:szCs w:val="22"/>
        </w:rPr>
        <w:t xml:space="preserve">Plan </w:t>
      </w:r>
      <w:r w:rsidR="2BDC4E3D" w:rsidRPr="7338ADD8">
        <w:rPr>
          <w:sz w:val="22"/>
          <w:szCs w:val="22"/>
        </w:rPr>
        <w:t>Package</w:t>
      </w:r>
      <w:r w:rsidRPr="7338ADD8">
        <w:rPr>
          <w:sz w:val="22"/>
          <w:szCs w:val="22"/>
        </w:rPr>
        <w:t xml:space="preserve"> and other QDRP documents. For planning purposes, the DFP breaks these categories down to the activity or sub-activity level (or a more granular level, as appropriate) on a quarterly basis over the life of the grant. Once the disbursement authority is approved for the quarter, the AE may not exceed the activity-level disbursement amount included in the approved DFP-cash, though it may make commitments above the amount reflected in the DFP-commitments, provided that the </w:t>
      </w:r>
      <w:r w:rsidR="00EF1B3A">
        <w:rPr>
          <w:sz w:val="22"/>
          <w:szCs w:val="22"/>
        </w:rPr>
        <w:t xml:space="preserve">overall </w:t>
      </w:r>
      <w:r w:rsidR="00C7181D">
        <w:rPr>
          <w:sz w:val="22"/>
          <w:szCs w:val="22"/>
        </w:rPr>
        <w:t xml:space="preserve">MCC-funded </w:t>
      </w:r>
      <w:r w:rsidR="00EF1B3A">
        <w:rPr>
          <w:sz w:val="22"/>
          <w:szCs w:val="22"/>
        </w:rPr>
        <w:t>commitments do not exceed the activity level budget as reflected</w:t>
      </w:r>
      <w:r w:rsidR="006C4C40">
        <w:rPr>
          <w:sz w:val="22"/>
          <w:szCs w:val="22"/>
        </w:rPr>
        <w:t xml:space="preserve"> in</w:t>
      </w:r>
      <w:r w:rsidR="00EF1B3A">
        <w:rPr>
          <w:sz w:val="22"/>
          <w:szCs w:val="22"/>
        </w:rPr>
        <w:t xml:space="preserve"> the most recently approved Schedule A</w:t>
      </w:r>
      <w:r w:rsidR="00237C89">
        <w:rPr>
          <w:sz w:val="22"/>
          <w:szCs w:val="22"/>
        </w:rPr>
        <w:t xml:space="preserve">, </w:t>
      </w:r>
      <w:r w:rsidRPr="7338ADD8">
        <w:rPr>
          <w:sz w:val="22"/>
          <w:szCs w:val="22"/>
        </w:rPr>
        <w:t>and all other relevant program requirements are met.</w:t>
      </w:r>
    </w:p>
    <w:p w14:paraId="4A479A8E" w14:textId="77777777" w:rsidR="00B56D4A" w:rsidRPr="00B56D4A" w:rsidRDefault="00B56D4A" w:rsidP="008D40F4">
      <w:pPr>
        <w:jc w:val="both"/>
      </w:pPr>
    </w:p>
    <w:p w14:paraId="505A6BDD" w14:textId="77777777" w:rsidR="00BC01C0" w:rsidRPr="0026194B" w:rsidRDefault="00BC01C0" w:rsidP="008D40F4">
      <w:pPr>
        <w:pStyle w:val="Heading3"/>
        <w:jc w:val="both"/>
        <w:rPr>
          <w:rFonts w:ascii="Times New Roman" w:hAnsi="Times New Roman" w:cs="Times New Roman"/>
        </w:rPr>
      </w:pPr>
      <w:bookmarkStart w:id="10" w:name="_Toc159578691"/>
      <w:r w:rsidRPr="296B8CAF">
        <w:rPr>
          <w:rFonts w:ascii="Times New Roman" w:hAnsi="Times New Roman" w:cs="Times New Roman"/>
        </w:rPr>
        <w:t>Preparing the DFPs</w:t>
      </w:r>
      <w:bookmarkEnd w:id="10"/>
      <w:r w:rsidRPr="296B8CAF">
        <w:rPr>
          <w:rFonts w:ascii="Times New Roman" w:hAnsi="Times New Roman" w:cs="Times New Roman"/>
        </w:rPr>
        <w:t xml:space="preserve"> </w:t>
      </w:r>
    </w:p>
    <w:p w14:paraId="52D49550" w14:textId="77777777" w:rsidR="00B56D4A" w:rsidRDefault="00B56D4A" w:rsidP="008D40F4">
      <w:pPr>
        <w:jc w:val="both"/>
        <w:rPr>
          <w:sz w:val="22"/>
          <w:szCs w:val="22"/>
        </w:rPr>
      </w:pPr>
    </w:p>
    <w:p w14:paraId="50893457" w14:textId="03F626A7" w:rsidR="00BC01C0" w:rsidRPr="0026194B" w:rsidRDefault="00BC01C0" w:rsidP="008D40F4">
      <w:pPr>
        <w:jc w:val="both"/>
        <w:rPr>
          <w:sz w:val="22"/>
          <w:szCs w:val="22"/>
        </w:rPr>
      </w:pPr>
      <w:r w:rsidRPr="36D2CACB">
        <w:rPr>
          <w:sz w:val="22"/>
          <w:szCs w:val="22"/>
        </w:rPr>
        <w:t>The process for preparing the DFP</w:t>
      </w:r>
      <w:r w:rsidR="00941FB8">
        <w:rPr>
          <w:sz w:val="22"/>
          <w:szCs w:val="22"/>
        </w:rPr>
        <w:t>s</w:t>
      </w:r>
      <w:r w:rsidRPr="36D2CACB">
        <w:rPr>
          <w:sz w:val="22"/>
          <w:szCs w:val="22"/>
        </w:rPr>
        <w:t xml:space="preserve"> will depend on whether the AE has SAP</w:t>
      </w:r>
      <w:r w:rsidR="0011598A">
        <w:rPr>
          <w:rStyle w:val="FootnoteReference"/>
          <w:sz w:val="22"/>
          <w:szCs w:val="22"/>
        </w:rPr>
        <w:footnoteReference w:id="5"/>
      </w:r>
      <w:r w:rsidRPr="36D2CACB">
        <w:rPr>
          <w:sz w:val="22"/>
          <w:szCs w:val="22"/>
        </w:rPr>
        <w:t xml:space="preserve">. </w:t>
      </w:r>
      <w:r w:rsidR="00B9746F">
        <w:rPr>
          <w:sz w:val="22"/>
          <w:szCs w:val="22"/>
        </w:rPr>
        <w:t>P</w:t>
      </w:r>
      <w:r w:rsidRPr="0026194B">
        <w:rPr>
          <w:sz w:val="22"/>
          <w:szCs w:val="22"/>
        </w:rPr>
        <w:t xml:space="preserve">rograms which do not currently use SAP must prepare their DFPs manually. </w:t>
      </w:r>
    </w:p>
    <w:p w14:paraId="3AA9BFA7" w14:textId="77777777" w:rsidR="00BC01C0" w:rsidRPr="0026194B" w:rsidRDefault="00BC01C0" w:rsidP="008D40F4">
      <w:pPr>
        <w:jc w:val="both"/>
        <w:rPr>
          <w:sz w:val="22"/>
          <w:szCs w:val="22"/>
        </w:rPr>
      </w:pPr>
    </w:p>
    <w:p w14:paraId="23B86A1F" w14:textId="216513FA" w:rsidR="00EB3C5B" w:rsidRDefault="00BC01C0" w:rsidP="008D40F4">
      <w:pPr>
        <w:pStyle w:val="ListParagraph"/>
        <w:numPr>
          <w:ilvl w:val="0"/>
          <w:numId w:val="45"/>
        </w:numPr>
        <w:jc w:val="both"/>
        <w:rPr>
          <w:sz w:val="22"/>
          <w:szCs w:val="22"/>
        </w:rPr>
      </w:pPr>
      <w:r w:rsidRPr="00CA038A">
        <w:rPr>
          <w:sz w:val="22"/>
          <w:szCs w:val="22"/>
          <w:u w:val="single"/>
        </w:rPr>
        <w:lastRenderedPageBreak/>
        <w:t>If they do not have SAP</w:t>
      </w:r>
      <w:r w:rsidRPr="00EB3C5B">
        <w:rPr>
          <w:sz w:val="22"/>
          <w:szCs w:val="22"/>
        </w:rPr>
        <w:t xml:space="preserve">, the AE can enter information through either (1) manual data entry into the DFP-commitments and DFP-cash forms in MCC MIS, or (2) import of an Excel spreadsheet by leveraging a pre-formatted template from MCC MIS. </w:t>
      </w:r>
    </w:p>
    <w:p w14:paraId="4D2B83F8" w14:textId="5210D4F5" w:rsidR="00EB3C5B" w:rsidRDefault="00BC01C0" w:rsidP="008D40F4">
      <w:pPr>
        <w:pStyle w:val="ListParagraph"/>
        <w:numPr>
          <w:ilvl w:val="0"/>
          <w:numId w:val="45"/>
        </w:numPr>
        <w:jc w:val="both"/>
        <w:rPr>
          <w:sz w:val="22"/>
          <w:szCs w:val="22"/>
        </w:rPr>
      </w:pPr>
      <w:r w:rsidRPr="00CA038A">
        <w:rPr>
          <w:sz w:val="22"/>
          <w:szCs w:val="22"/>
          <w:u w:val="single"/>
        </w:rPr>
        <w:t>AEs who use SAP</w:t>
      </w:r>
      <w:r w:rsidRPr="00EB3C5B">
        <w:rPr>
          <w:sz w:val="22"/>
          <w:szCs w:val="22"/>
        </w:rPr>
        <w:t xml:space="preserve"> </w:t>
      </w:r>
      <w:r w:rsidR="008D5F2B">
        <w:rPr>
          <w:sz w:val="22"/>
          <w:szCs w:val="22"/>
        </w:rPr>
        <w:t>must</w:t>
      </w:r>
      <w:r w:rsidR="008D5F2B" w:rsidRPr="00EB3C5B">
        <w:rPr>
          <w:sz w:val="22"/>
          <w:szCs w:val="22"/>
        </w:rPr>
        <w:t xml:space="preserve"> </w:t>
      </w:r>
      <w:r w:rsidRPr="00EB3C5B">
        <w:rPr>
          <w:sz w:val="22"/>
          <w:szCs w:val="22"/>
        </w:rPr>
        <w:t xml:space="preserve">import the report into MCC MIS by generating the report from SAP, saving the report in XML </w:t>
      </w:r>
      <w:proofErr w:type="gramStart"/>
      <w:r w:rsidRPr="00EB3C5B">
        <w:rPr>
          <w:sz w:val="22"/>
          <w:szCs w:val="22"/>
        </w:rPr>
        <w:t>format</w:t>
      </w:r>
      <w:proofErr w:type="gramEnd"/>
      <w:r w:rsidRPr="00EB3C5B">
        <w:rPr>
          <w:sz w:val="22"/>
          <w:szCs w:val="22"/>
        </w:rPr>
        <w:t xml:space="preserve"> and importing the XML file into MCC MIS. </w:t>
      </w:r>
      <w:r w:rsidR="00E40B97" w:rsidRPr="00EB3C5B">
        <w:rPr>
          <w:sz w:val="22"/>
          <w:szCs w:val="22"/>
        </w:rPr>
        <w:t xml:space="preserve">For instructions on generating the XML files from SAP, please refer to the relevant country’s SAP Business Process Procedure (BPP). </w:t>
      </w:r>
      <w:r w:rsidR="4D944104" w:rsidRPr="0C6A9768">
        <w:rPr>
          <w:sz w:val="22"/>
          <w:szCs w:val="22"/>
        </w:rPr>
        <w:t>The exception</w:t>
      </w:r>
      <w:r w:rsidR="00095915">
        <w:rPr>
          <w:sz w:val="22"/>
          <w:szCs w:val="22"/>
        </w:rPr>
        <w:t xml:space="preserve">s to this requirement are (1) system issues that prevent XML import, </w:t>
      </w:r>
      <w:r w:rsidR="0020423D">
        <w:rPr>
          <w:sz w:val="22"/>
          <w:szCs w:val="22"/>
        </w:rPr>
        <w:t xml:space="preserve">provided that the </w:t>
      </w:r>
      <w:r w:rsidR="007A3A11">
        <w:rPr>
          <w:sz w:val="22"/>
          <w:szCs w:val="22"/>
        </w:rPr>
        <w:t xml:space="preserve">issues are verified and the </w:t>
      </w:r>
      <w:r w:rsidR="0020423D">
        <w:rPr>
          <w:sz w:val="22"/>
          <w:szCs w:val="22"/>
        </w:rPr>
        <w:t xml:space="preserve">request to turn off the XML functionality is approved by the DCO Office of the Vice President, </w:t>
      </w:r>
      <w:r w:rsidR="00095915">
        <w:rPr>
          <w:sz w:val="22"/>
          <w:szCs w:val="22"/>
        </w:rPr>
        <w:t>and (2)</w:t>
      </w:r>
      <w:r w:rsidR="4D944104" w:rsidRPr="0C6A9768">
        <w:rPr>
          <w:sz w:val="22"/>
          <w:szCs w:val="22"/>
        </w:rPr>
        <w:t xml:space="preserve"> submi</w:t>
      </w:r>
      <w:r w:rsidR="00F86C92">
        <w:rPr>
          <w:sz w:val="22"/>
          <w:szCs w:val="22"/>
        </w:rPr>
        <w:t xml:space="preserve">ssion of </w:t>
      </w:r>
      <w:r w:rsidR="00FB584B">
        <w:rPr>
          <w:sz w:val="22"/>
          <w:szCs w:val="22"/>
        </w:rPr>
        <w:t>o</w:t>
      </w:r>
      <w:r w:rsidR="4D944104" w:rsidRPr="0C6A9768">
        <w:rPr>
          <w:sz w:val="22"/>
          <w:szCs w:val="22"/>
        </w:rPr>
        <w:t xml:space="preserve">ut of </w:t>
      </w:r>
      <w:r w:rsidR="00FB584B">
        <w:rPr>
          <w:sz w:val="22"/>
          <w:szCs w:val="22"/>
        </w:rPr>
        <w:t>c</w:t>
      </w:r>
      <w:r w:rsidR="4D944104" w:rsidRPr="0C6A9768">
        <w:rPr>
          <w:sz w:val="22"/>
          <w:szCs w:val="22"/>
        </w:rPr>
        <w:t>ycle</w:t>
      </w:r>
      <w:r w:rsidR="00FB584B">
        <w:rPr>
          <w:sz w:val="22"/>
          <w:szCs w:val="22"/>
        </w:rPr>
        <w:t xml:space="preserve"> (OOC)</w:t>
      </w:r>
      <w:r w:rsidR="4D944104" w:rsidRPr="0C6A9768">
        <w:rPr>
          <w:sz w:val="22"/>
          <w:szCs w:val="22"/>
        </w:rPr>
        <w:t xml:space="preserve"> </w:t>
      </w:r>
      <w:r w:rsidR="00FB584B">
        <w:rPr>
          <w:sz w:val="22"/>
          <w:szCs w:val="22"/>
        </w:rPr>
        <w:t>d</w:t>
      </w:r>
      <w:r w:rsidR="4D944104" w:rsidRPr="0C6A9768">
        <w:rPr>
          <w:sz w:val="22"/>
          <w:szCs w:val="22"/>
        </w:rPr>
        <w:t>isbursement request</w:t>
      </w:r>
      <w:r w:rsidR="007A72D1">
        <w:rPr>
          <w:sz w:val="22"/>
          <w:szCs w:val="22"/>
        </w:rPr>
        <w:t>s</w:t>
      </w:r>
      <w:r w:rsidR="4D944104" w:rsidRPr="0C6A9768">
        <w:rPr>
          <w:sz w:val="22"/>
          <w:szCs w:val="22"/>
        </w:rPr>
        <w:t xml:space="preserve"> </w:t>
      </w:r>
      <w:r w:rsidR="4D944104" w:rsidRPr="123198AD">
        <w:rPr>
          <w:sz w:val="22"/>
          <w:szCs w:val="22"/>
        </w:rPr>
        <w:t>to increase disbursement authority</w:t>
      </w:r>
      <w:r w:rsidR="5A95A8F9" w:rsidRPr="123198AD">
        <w:rPr>
          <w:sz w:val="22"/>
          <w:szCs w:val="22"/>
        </w:rPr>
        <w:t>.</w:t>
      </w:r>
      <w:r w:rsidR="00101EEB" w:rsidRPr="123198AD">
        <w:rPr>
          <w:sz w:val="22"/>
          <w:szCs w:val="22"/>
        </w:rPr>
        <w:t xml:space="preserve"> </w:t>
      </w:r>
      <w:r w:rsidR="00101EEB">
        <w:rPr>
          <w:sz w:val="22"/>
          <w:szCs w:val="22"/>
        </w:rPr>
        <w:t>For these OOC requests, c</w:t>
      </w:r>
      <w:r w:rsidR="00101EEB" w:rsidRPr="123198AD">
        <w:rPr>
          <w:sz w:val="22"/>
          <w:szCs w:val="22"/>
        </w:rPr>
        <w:t>hanges in the DFP should be presented and submitted manually</w:t>
      </w:r>
      <w:r w:rsidR="00101EEB">
        <w:rPr>
          <w:sz w:val="22"/>
          <w:szCs w:val="22"/>
        </w:rPr>
        <w:t>.</w:t>
      </w:r>
      <w:r w:rsidR="5A95A8F9" w:rsidRPr="123198AD">
        <w:rPr>
          <w:sz w:val="22"/>
          <w:szCs w:val="22"/>
        </w:rPr>
        <w:t xml:space="preserve"> After approval of such a</w:t>
      </w:r>
      <w:r w:rsidR="009212CB">
        <w:rPr>
          <w:sz w:val="22"/>
          <w:szCs w:val="22"/>
        </w:rPr>
        <w:t xml:space="preserve"> </w:t>
      </w:r>
      <w:proofErr w:type="gramStart"/>
      <w:r w:rsidR="009212CB">
        <w:rPr>
          <w:sz w:val="22"/>
          <w:szCs w:val="22"/>
        </w:rPr>
        <w:t>manually-entered</w:t>
      </w:r>
      <w:proofErr w:type="gramEnd"/>
      <w:r w:rsidR="009212CB">
        <w:rPr>
          <w:sz w:val="22"/>
          <w:szCs w:val="22"/>
        </w:rPr>
        <w:t xml:space="preserve"> OOC</w:t>
      </w:r>
      <w:r w:rsidR="5A95A8F9" w:rsidRPr="123198AD">
        <w:rPr>
          <w:sz w:val="22"/>
          <w:szCs w:val="22"/>
        </w:rPr>
        <w:t xml:space="preserve"> submission, the A</w:t>
      </w:r>
      <w:r w:rsidR="007708F1">
        <w:rPr>
          <w:sz w:val="22"/>
          <w:szCs w:val="22"/>
        </w:rPr>
        <w:t>E</w:t>
      </w:r>
      <w:r w:rsidR="5A95A8F9" w:rsidRPr="123198AD">
        <w:rPr>
          <w:sz w:val="22"/>
          <w:szCs w:val="22"/>
        </w:rPr>
        <w:t xml:space="preserve"> and its Fiscal Agent should confirm in writing that they have updated SAP accordingly.</w:t>
      </w:r>
    </w:p>
    <w:p w14:paraId="76FED740" w14:textId="77777777" w:rsidR="00EB3C5B" w:rsidRDefault="00EB3C5B" w:rsidP="008D40F4">
      <w:pPr>
        <w:jc w:val="both"/>
        <w:rPr>
          <w:sz w:val="22"/>
          <w:szCs w:val="22"/>
        </w:rPr>
      </w:pPr>
    </w:p>
    <w:p w14:paraId="1D2A3F8A" w14:textId="670A601A" w:rsidR="00BC01C0" w:rsidRPr="00EB3C5B" w:rsidRDefault="00BC01C0" w:rsidP="008D40F4">
      <w:pPr>
        <w:jc w:val="both"/>
        <w:rPr>
          <w:sz w:val="22"/>
          <w:szCs w:val="22"/>
        </w:rPr>
      </w:pPr>
      <w:r w:rsidRPr="00EB3C5B">
        <w:rPr>
          <w:sz w:val="22"/>
          <w:szCs w:val="22"/>
        </w:rPr>
        <w:t xml:space="preserve">For additional information on executing these options in MCC MIS, please see Chapter </w:t>
      </w:r>
      <w:r w:rsidR="00332127">
        <w:rPr>
          <w:sz w:val="22"/>
          <w:szCs w:val="22"/>
        </w:rPr>
        <w:t>3.3</w:t>
      </w:r>
      <w:r w:rsidRPr="00EB3C5B">
        <w:rPr>
          <w:sz w:val="22"/>
          <w:szCs w:val="22"/>
        </w:rPr>
        <w:t xml:space="preserve"> in the MCC MIS User Guide.  </w:t>
      </w:r>
    </w:p>
    <w:p w14:paraId="78D44AC0" w14:textId="77777777" w:rsidR="00BC01C0" w:rsidRPr="0026194B" w:rsidRDefault="00BC01C0" w:rsidP="008D40F4">
      <w:pPr>
        <w:jc w:val="both"/>
        <w:rPr>
          <w:b/>
          <w:bCs/>
          <w:iCs/>
          <w:sz w:val="22"/>
          <w:szCs w:val="22"/>
        </w:rPr>
      </w:pPr>
    </w:p>
    <w:p w14:paraId="72F22346" w14:textId="044A3C92" w:rsidR="00BC01C0" w:rsidRDefault="00BC01C0" w:rsidP="008D40F4">
      <w:pPr>
        <w:spacing w:line="259" w:lineRule="auto"/>
        <w:jc w:val="both"/>
        <w:rPr>
          <w:rFonts w:eastAsia="Calibri"/>
          <w:sz w:val="22"/>
          <w:szCs w:val="22"/>
        </w:rPr>
      </w:pPr>
      <w:r w:rsidRPr="56A5B2ED">
        <w:rPr>
          <w:rFonts w:eastAsia="Calibri"/>
          <w:sz w:val="22"/>
          <w:szCs w:val="22"/>
        </w:rPr>
        <w:t xml:space="preserve">Prior to populating the DFPs, </w:t>
      </w:r>
      <w:r w:rsidRPr="56A5B2ED">
        <w:rPr>
          <w:sz w:val="22"/>
          <w:szCs w:val="22"/>
        </w:rPr>
        <w:t xml:space="preserve">the AE should update its financial system to reflect the latest projections on funding requirements, deliverables and planned procurements, </w:t>
      </w:r>
      <w:proofErr w:type="gramStart"/>
      <w:r w:rsidRPr="56A5B2ED">
        <w:rPr>
          <w:sz w:val="22"/>
          <w:szCs w:val="22"/>
        </w:rPr>
        <w:t>grants</w:t>
      </w:r>
      <w:proofErr w:type="gramEnd"/>
      <w:r w:rsidRPr="56A5B2ED">
        <w:rPr>
          <w:sz w:val="22"/>
          <w:szCs w:val="22"/>
        </w:rPr>
        <w:t xml:space="preserve"> and partnership agreements, and determine if any budget reallocations are necessary.</w:t>
      </w:r>
      <w:r w:rsidR="1F9FA336" w:rsidRPr="56A5B2ED">
        <w:rPr>
          <w:sz w:val="22"/>
          <w:szCs w:val="22"/>
        </w:rPr>
        <w:t xml:space="preserve">  </w:t>
      </w:r>
      <w:r w:rsidRPr="56A5B2ED">
        <w:rPr>
          <w:sz w:val="22"/>
          <w:szCs w:val="22"/>
        </w:rPr>
        <w:t xml:space="preserve">The AE should then populate the DFP-commitments first, </w:t>
      </w:r>
      <w:r w:rsidR="779EDE92" w:rsidRPr="56A5B2ED">
        <w:rPr>
          <w:sz w:val="22"/>
          <w:szCs w:val="22"/>
        </w:rPr>
        <w:t>as</w:t>
      </w:r>
      <w:r w:rsidRPr="56A5B2ED">
        <w:rPr>
          <w:sz w:val="22"/>
          <w:szCs w:val="22"/>
        </w:rPr>
        <w:t xml:space="preserve"> c</w:t>
      </w:r>
      <w:r w:rsidRPr="56A5B2ED">
        <w:rPr>
          <w:rFonts w:eastAsia="Calibri"/>
          <w:sz w:val="22"/>
          <w:szCs w:val="22"/>
        </w:rPr>
        <w:t xml:space="preserve">hanges in the commitment figures will likely trigger corresponding changes in the DFP-cash. </w:t>
      </w:r>
    </w:p>
    <w:p w14:paraId="06C46679" w14:textId="7A969263" w:rsidR="00BC01C0" w:rsidRDefault="00BC01C0" w:rsidP="008D40F4">
      <w:pPr>
        <w:jc w:val="both"/>
        <w:rPr>
          <w:rFonts w:eastAsia="Calibri"/>
          <w:sz w:val="22"/>
          <w:szCs w:val="22"/>
        </w:rPr>
      </w:pPr>
    </w:p>
    <w:p w14:paraId="4C60E255" w14:textId="597A4CE7" w:rsidR="00BC01C0" w:rsidRPr="00BC01C0" w:rsidRDefault="00BC01C0" w:rsidP="008D40F4">
      <w:pPr>
        <w:pStyle w:val="Heading3"/>
        <w:jc w:val="both"/>
        <w:rPr>
          <w:rFonts w:ascii="Times New Roman" w:hAnsi="Times New Roman" w:cs="Times New Roman"/>
        </w:rPr>
      </w:pPr>
      <w:bookmarkStart w:id="11" w:name="_Toc159578692"/>
      <w:r w:rsidRPr="00BC01C0">
        <w:rPr>
          <w:rFonts w:ascii="Times New Roman" w:hAnsi="Times New Roman" w:cs="Times New Roman"/>
        </w:rPr>
        <w:t>DFP terminology</w:t>
      </w:r>
      <w:bookmarkEnd w:id="11"/>
      <w:r w:rsidRPr="00BC01C0">
        <w:rPr>
          <w:rFonts w:ascii="Times New Roman" w:hAnsi="Times New Roman" w:cs="Times New Roman"/>
        </w:rPr>
        <w:t xml:space="preserve"> </w:t>
      </w:r>
    </w:p>
    <w:p w14:paraId="1FCAAE0C" w14:textId="77777777" w:rsidR="00582C39" w:rsidRDefault="00582C39" w:rsidP="008D40F4">
      <w:pPr>
        <w:pStyle w:val="Default"/>
        <w:ind w:right="-40"/>
        <w:jc w:val="both"/>
        <w:rPr>
          <w:color w:val="auto"/>
          <w:sz w:val="22"/>
          <w:szCs w:val="22"/>
        </w:rPr>
      </w:pPr>
    </w:p>
    <w:p w14:paraId="279C6CFE" w14:textId="483F3389" w:rsidR="006D5E76" w:rsidRPr="0026194B" w:rsidRDefault="006D5E76" w:rsidP="008D40F4">
      <w:pPr>
        <w:pStyle w:val="Default"/>
        <w:ind w:right="-40"/>
        <w:jc w:val="both"/>
        <w:rPr>
          <w:rFonts w:eastAsia="Calibri"/>
          <w:sz w:val="22"/>
          <w:szCs w:val="22"/>
        </w:rPr>
      </w:pPr>
      <w:r w:rsidRPr="0026194B">
        <w:rPr>
          <w:color w:val="auto"/>
          <w:sz w:val="22"/>
          <w:szCs w:val="22"/>
        </w:rPr>
        <w:t xml:space="preserve">As noted above, the DFP includes two components: the </w:t>
      </w:r>
      <w:r w:rsidR="00347131" w:rsidRPr="0026194B">
        <w:rPr>
          <w:color w:val="auto"/>
          <w:sz w:val="22"/>
          <w:szCs w:val="22"/>
        </w:rPr>
        <w:t>DFP-commitments</w:t>
      </w:r>
      <w:r w:rsidRPr="0026194B">
        <w:rPr>
          <w:color w:val="auto"/>
          <w:sz w:val="22"/>
          <w:szCs w:val="22"/>
        </w:rPr>
        <w:t xml:space="preserve"> and the </w:t>
      </w:r>
      <w:r w:rsidR="00347131" w:rsidRPr="0026194B">
        <w:rPr>
          <w:color w:val="auto"/>
          <w:sz w:val="22"/>
          <w:szCs w:val="22"/>
        </w:rPr>
        <w:t>DFP-cash</w:t>
      </w:r>
      <w:r w:rsidRPr="0026194B">
        <w:rPr>
          <w:color w:val="auto"/>
          <w:sz w:val="22"/>
          <w:szCs w:val="22"/>
        </w:rPr>
        <w:t xml:space="preserve">. The </w:t>
      </w:r>
      <w:r w:rsidR="00347131" w:rsidRPr="0026194B">
        <w:rPr>
          <w:b/>
          <w:bCs/>
          <w:color w:val="auto"/>
          <w:sz w:val="22"/>
          <w:szCs w:val="22"/>
        </w:rPr>
        <w:t>DFP-commitments</w:t>
      </w:r>
      <w:r w:rsidRPr="0026194B">
        <w:rPr>
          <w:b/>
          <w:bCs/>
          <w:color w:val="auto"/>
          <w:sz w:val="22"/>
          <w:szCs w:val="22"/>
        </w:rPr>
        <w:t xml:space="preserve"> </w:t>
      </w:r>
      <w:r w:rsidRPr="0026194B">
        <w:rPr>
          <w:sz w:val="22"/>
          <w:szCs w:val="22"/>
        </w:rPr>
        <w:t>reflects actual and forecasted commitments, whereas t</w:t>
      </w:r>
      <w:r w:rsidRPr="0026194B">
        <w:rPr>
          <w:rFonts w:eastAsia="Calibri"/>
          <w:sz w:val="22"/>
          <w:szCs w:val="22"/>
        </w:rPr>
        <w:t xml:space="preserve">he </w:t>
      </w:r>
      <w:r w:rsidR="00347131" w:rsidRPr="0026194B">
        <w:rPr>
          <w:rFonts w:eastAsia="Calibri"/>
          <w:b/>
          <w:bCs/>
          <w:sz w:val="22"/>
          <w:szCs w:val="22"/>
        </w:rPr>
        <w:t>DFP-cash</w:t>
      </w:r>
      <w:r w:rsidRPr="0026194B">
        <w:rPr>
          <w:rFonts w:eastAsia="Calibri"/>
          <w:sz w:val="22"/>
          <w:szCs w:val="22"/>
        </w:rPr>
        <w:t xml:space="preserve"> reflects actual and forecasted </w:t>
      </w:r>
      <w:r w:rsidR="00017505">
        <w:rPr>
          <w:rFonts w:eastAsia="Calibri"/>
          <w:sz w:val="22"/>
          <w:szCs w:val="22"/>
        </w:rPr>
        <w:t>disbursements</w:t>
      </w:r>
      <w:r w:rsidRPr="0026194B">
        <w:rPr>
          <w:rFonts w:eastAsia="Calibri"/>
          <w:sz w:val="22"/>
          <w:szCs w:val="22"/>
        </w:rPr>
        <w:t xml:space="preserve">. Both present information by project, </w:t>
      </w:r>
      <w:proofErr w:type="gramStart"/>
      <w:r w:rsidRPr="0026194B">
        <w:rPr>
          <w:rFonts w:eastAsia="Calibri"/>
          <w:sz w:val="22"/>
          <w:szCs w:val="22"/>
        </w:rPr>
        <w:t>activity</w:t>
      </w:r>
      <w:proofErr w:type="gramEnd"/>
      <w:r w:rsidRPr="0026194B">
        <w:rPr>
          <w:rFonts w:eastAsia="Calibri"/>
          <w:sz w:val="22"/>
          <w:szCs w:val="22"/>
        </w:rPr>
        <w:t xml:space="preserve"> and sub-activity </w:t>
      </w:r>
      <w:r w:rsidRPr="0026194B">
        <w:rPr>
          <w:sz w:val="22"/>
          <w:szCs w:val="22"/>
        </w:rPr>
        <w:t>(or at a more granular level, as appropriate)</w:t>
      </w:r>
      <w:r w:rsidRPr="0026194B">
        <w:rPr>
          <w:rFonts w:eastAsia="Calibri"/>
          <w:sz w:val="22"/>
          <w:szCs w:val="22"/>
        </w:rPr>
        <w:t xml:space="preserve">. </w:t>
      </w:r>
    </w:p>
    <w:p w14:paraId="370E012C" w14:textId="77777777" w:rsidR="006D5E76" w:rsidRPr="0026194B" w:rsidRDefault="006D5E76" w:rsidP="008D40F4">
      <w:pPr>
        <w:pStyle w:val="Default"/>
        <w:ind w:right="-40"/>
        <w:jc w:val="both"/>
        <w:rPr>
          <w:color w:val="auto"/>
          <w:sz w:val="22"/>
          <w:szCs w:val="22"/>
        </w:rPr>
      </w:pPr>
    </w:p>
    <w:p w14:paraId="2F4FD7F7" w14:textId="77777777" w:rsidR="006D5E76" w:rsidRPr="0026194B" w:rsidRDefault="006D5E76" w:rsidP="008D40F4">
      <w:pPr>
        <w:pStyle w:val="Default"/>
        <w:ind w:right="-40"/>
        <w:jc w:val="both"/>
        <w:rPr>
          <w:color w:val="auto"/>
          <w:sz w:val="22"/>
          <w:szCs w:val="22"/>
        </w:rPr>
      </w:pPr>
      <w:r w:rsidRPr="0026194B">
        <w:rPr>
          <w:color w:val="auto"/>
          <w:sz w:val="22"/>
          <w:szCs w:val="22"/>
        </w:rPr>
        <w:t xml:space="preserve">As shown in Figure 1, the DFPs are broken down into several categories to reflect different time periods. </w:t>
      </w:r>
    </w:p>
    <w:p w14:paraId="251CF68C" w14:textId="77777777" w:rsidR="006D5E76" w:rsidRPr="0026194B" w:rsidRDefault="006D5E76" w:rsidP="008D40F4">
      <w:pPr>
        <w:pStyle w:val="Default"/>
        <w:ind w:right="-40"/>
        <w:jc w:val="both"/>
        <w:rPr>
          <w:color w:val="auto"/>
          <w:sz w:val="22"/>
          <w:szCs w:val="22"/>
        </w:rPr>
      </w:pPr>
    </w:p>
    <w:p w14:paraId="5016298A" w14:textId="1467FA4F" w:rsidR="0051504E" w:rsidRPr="0026194B" w:rsidRDefault="006D5E76" w:rsidP="008D40F4">
      <w:pPr>
        <w:pStyle w:val="Default"/>
        <w:ind w:right="-40"/>
        <w:jc w:val="both"/>
        <w:rPr>
          <w:noProof/>
        </w:rPr>
      </w:pPr>
      <w:r w:rsidRPr="0026194B">
        <w:rPr>
          <w:b/>
          <w:bCs/>
          <w:color w:val="auto"/>
          <w:sz w:val="22"/>
          <w:szCs w:val="22"/>
        </w:rPr>
        <w:t>Figure 1</w:t>
      </w:r>
    </w:p>
    <w:p w14:paraId="0A985676" w14:textId="17B9DB13" w:rsidR="006D5E76" w:rsidRPr="0026194B" w:rsidRDefault="006D5E76" w:rsidP="008D40F4">
      <w:pPr>
        <w:pStyle w:val="Default"/>
        <w:ind w:right="-40"/>
        <w:jc w:val="both"/>
        <w:rPr>
          <w:b/>
          <w:bCs/>
          <w:color w:val="auto"/>
          <w:sz w:val="22"/>
          <w:szCs w:val="22"/>
        </w:rPr>
      </w:pPr>
      <w:r w:rsidRPr="0026194B">
        <w:rPr>
          <w:noProof/>
        </w:rPr>
        <w:drawing>
          <wp:inline distT="0" distB="0" distL="0" distR="0" wp14:anchorId="2D30822C" wp14:editId="38DA0081">
            <wp:extent cx="6673850" cy="104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064"/>
                    <a:stretch/>
                  </pic:blipFill>
                  <pic:spPr bwMode="auto">
                    <a:xfrm>
                      <a:off x="0" y="0"/>
                      <a:ext cx="6679071" cy="1042907"/>
                    </a:xfrm>
                    <a:prstGeom prst="rect">
                      <a:avLst/>
                    </a:prstGeom>
                    <a:noFill/>
                    <a:ln>
                      <a:noFill/>
                    </a:ln>
                    <a:extLst>
                      <a:ext uri="{53640926-AAD7-44D8-BBD7-CCE9431645EC}">
                        <a14:shadowObscured xmlns:a14="http://schemas.microsoft.com/office/drawing/2010/main"/>
                      </a:ext>
                    </a:extLst>
                  </pic:spPr>
                </pic:pic>
              </a:graphicData>
            </a:graphic>
          </wp:inline>
        </w:drawing>
      </w:r>
    </w:p>
    <w:p w14:paraId="59BE2355" w14:textId="3E97665F" w:rsidR="006D5E76" w:rsidRPr="0026194B" w:rsidRDefault="006D5E76" w:rsidP="008D40F4">
      <w:pPr>
        <w:pStyle w:val="Default"/>
        <w:ind w:right="-40"/>
        <w:jc w:val="both"/>
        <w:rPr>
          <w:color w:val="auto"/>
          <w:sz w:val="22"/>
          <w:szCs w:val="22"/>
        </w:rPr>
      </w:pPr>
      <w:r w:rsidRPr="56A5B2ED">
        <w:rPr>
          <w:color w:val="auto"/>
          <w:sz w:val="22"/>
          <w:szCs w:val="22"/>
        </w:rPr>
        <w:t>Key terminology</w:t>
      </w:r>
      <w:r w:rsidR="667A9B7E" w:rsidRPr="56A5B2ED">
        <w:rPr>
          <w:color w:val="auto"/>
          <w:sz w:val="22"/>
          <w:szCs w:val="22"/>
        </w:rPr>
        <w:t xml:space="preserve">, </w:t>
      </w:r>
      <w:r w:rsidRPr="56A5B2ED">
        <w:rPr>
          <w:color w:val="auto"/>
          <w:sz w:val="22"/>
          <w:szCs w:val="22"/>
        </w:rPr>
        <w:t>which is further described below</w:t>
      </w:r>
      <w:r w:rsidR="7089A8F5" w:rsidRPr="56A5B2ED">
        <w:rPr>
          <w:color w:val="auto"/>
          <w:sz w:val="22"/>
          <w:szCs w:val="22"/>
        </w:rPr>
        <w:t xml:space="preserve">, </w:t>
      </w:r>
      <w:r w:rsidRPr="56A5B2ED">
        <w:rPr>
          <w:color w:val="auto"/>
          <w:sz w:val="22"/>
          <w:szCs w:val="22"/>
        </w:rPr>
        <w:t xml:space="preserve">includes </w:t>
      </w:r>
      <w:r w:rsidRPr="003E317B">
        <w:rPr>
          <w:b/>
          <w:bCs/>
          <w:color w:val="auto"/>
          <w:sz w:val="22"/>
          <w:szCs w:val="22"/>
        </w:rPr>
        <w:t>cumulative</w:t>
      </w:r>
      <w:r w:rsidRPr="56A5B2ED">
        <w:rPr>
          <w:color w:val="auto"/>
          <w:sz w:val="22"/>
          <w:szCs w:val="22"/>
        </w:rPr>
        <w:t xml:space="preserve">, </w:t>
      </w:r>
      <w:r w:rsidRPr="003E317B">
        <w:rPr>
          <w:b/>
          <w:bCs/>
          <w:color w:val="auto"/>
          <w:sz w:val="22"/>
          <w:szCs w:val="22"/>
        </w:rPr>
        <w:t>current period</w:t>
      </w:r>
      <w:r w:rsidRPr="56A5B2ED">
        <w:rPr>
          <w:color w:val="auto"/>
          <w:sz w:val="22"/>
          <w:szCs w:val="22"/>
        </w:rPr>
        <w:t xml:space="preserve">, </w:t>
      </w:r>
      <w:r w:rsidRPr="003E317B">
        <w:rPr>
          <w:b/>
          <w:bCs/>
          <w:color w:val="auto"/>
          <w:sz w:val="22"/>
          <w:szCs w:val="22"/>
        </w:rPr>
        <w:t xml:space="preserve">next </w:t>
      </w:r>
      <w:proofErr w:type="gramStart"/>
      <w:r w:rsidRPr="003E317B">
        <w:rPr>
          <w:b/>
          <w:bCs/>
          <w:color w:val="auto"/>
          <w:sz w:val="22"/>
          <w:szCs w:val="22"/>
        </w:rPr>
        <w:t>period</w:t>
      </w:r>
      <w:proofErr w:type="gramEnd"/>
      <w:r w:rsidRPr="56A5B2ED">
        <w:rPr>
          <w:color w:val="auto"/>
          <w:sz w:val="22"/>
          <w:szCs w:val="22"/>
        </w:rPr>
        <w:t xml:space="preserve"> and </w:t>
      </w:r>
      <w:r w:rsidRPr="003E317B">
        <w:rPr>
          <w:b/>
          <w:bCs/>
          <w:color w:val="auto"/>
          <w:sz w:val="22"/>
          <w:szCs w:val="22"/>
        </w:rPr>
        <w:t>future</w:t>
      </w:r>
      <w:r w:rsidRPr="56A5B2ED">
        <w:rPr>
          <w:color w:val="auto"/>
          <w:sz w:val="22"/>
          <w:szCs w:val="22"/>
        </w:rPr>
        <w:t xml:space="preserve"> </w:t>
      </w:r>
      <w:r w:rsidRPr="003E317B">
        <w:rPr>
          <w:b/>
          <w:bCs/>
          <w:color w:val="auto"/>
          <w:sz w:val="22"/>
          <w:szCs w:val="22"/>
        </w:rPr>
        <w:t>periods</w:t>
      </w:r>
      <w:r w:rsidRPr="56A5B2ED">
        <w:rPr>
          <w:color w:val="auto"/>
          <w:sz w:val="22"/>
          <w:szCs w:val="22"/>
        </w:rPr>
        <w:t xml:space="preserve">. </w:t>
      </w:r>
    </w:p>
    <w:p w14:paraId="6E5E48EC" w14:textId="51871E1A" w:rsidR="006D5E76" w:rsidRPr="0026194B" w:rsidRDefault="006D5E76" w:rsidP="008D40F4">
      <w:pPr>
        <w:pStyle w:val="Default"/>
        <w:numPr>
          <w:ilvl w:val="0"/>
          <w:numId w:val="22"/>
        </w:numPr>
        <w:ind w:right="-40"/>
        <w:jc w:val="both"/>
        <w:rPr>
          <w:color w:val="auto"/>
          <w:sz w:val="22"/>
          <w:szCs w:val="22"/>
        </w:rPr>
      </w:pPr>
      <w:r w:rsidRPr="0026194B">
        <w:rPr>
          <w:color w:val="auto"/>
          <w:sz w:val="22"/>
          <w:szCs w:val="22"/>
        </w:rPr>
        <w:t>“</w:t>
      </w:r>
      <w:r w:rsidRPr="0026194B">
        <w:rPr>
          <w:b/>
          <w:bCs/>
          <w:color w:val="auto"/>
          <w:sz w:val="22"/>
          <w:szCs w:val="22"/>
        </w:rPr>
        <w:t>Cumulative”</w:t>
      </w:r>
      <w:r w:rsidRPr="0026194B">
        <w:rPr>
          <w:color w:val="auto"/>
          <w:sz w:val="22"/>
          <w:szCs w:val="22"/>
        </w:rPr>
        <w:t xml:space="preserve"> refers to actual cumulative commitments/disbursements and includes information from all quarters preceding the beginning of the current period</w:t>
      </w:r>
      <w:r w:rsidR="001809D4">
        <w:rPr>
          <w:rStyle w:val="FootnoteReference"/>
          <w:color w:val="auto"/>
          <w:sz w:val="22"/>
          <w:szCs w:val="22"/>
        </w:rPr>
        <w:footnoteReference w:id="6"/>
      </w:r>
      <w:r w:rsidRPr="0026194B">
        <w:rPr>
          <w:color w:val="auto"/>
          <w:sz w:val="22"/>
          <w:szCs w:val="22"/>
        </w:rPr>
        <w:t xml:space="preserve">; </w:t>
      </w:r>
    </w:p>
    <w:p w14:paraId="322065CB" w14:textId="4DCAF783" w:rsidR="006D5E76" w:rsidRPr="0026194B" w:rsidRDefault="006D5E76" w:rsidP="008D40F4">
      <w:pPr>
        <w:pStyle w:val="Default"/>
        <w:numPr>
          <w:ilvl w:val="0"/>
          <w:numId w:val="22"/>
        </w:numPr>
        <w:ind w:right="-40"/>
        <w:jc w:val="both"/>
        <w:rPr>
          <w:color w:val="auto"/>
          <w:sz w:val="22"/>
          <w:szCs w:val="22"/>
        </w:rPr>
      </w:pPr>
      <w:r w:rsidRPr="0026194B">
        <w:rPr>
          <w:color w:val="auto"/>
          <w:sz w:val="22"/>
          <w:szCs w:val="22"/>
        </w:rPr>
        <w:t>“</w:t>
      </w:r>
      <w:r w:rsidRPr="0026194B">
        <w:rPr>
          <w:b/>
          <w:bCs/>
          <w:color w:val="auto"/>
          <w:sz w:val="22"/>
          <w:szCs w:val="22"/>
        </w:rPr>
        <w:t>Current period</w:t>
      </w:r>
      <w:r w:rsidRPr="0026194B">
        <w:rPr>
          <w:color w:val="auto"/>
          <w:sz w:val="22"/>
          <w:szCs w:val="22"/>
        </w:rPr>
        <w:t xml:space="preserve">” refers to the quarter in which the AE is operating during the preparation of the QFR (assuming that the QDRP is being submitted in accordance with the </w:t>
      </w:r>
      <w:r w:rsidR="00520F30">
        <w:rPr>
          <w:color w:val="auto"/>
          <w:sz w:val="22"/>
          <w:szCs w:val="22"/>
        </w:rPr>
        <w:t xml:space="preserve">standard </w:t>
      </w:r>
      <w:r w:rsidR="00162DAA">
        <w:rPr>
          <w:color w:val="auto"/>
          <w:sz w:val="22"/>
          <w:szCs w:val="22"/>
        </w:rPr>
        <w:t>QDRP submission dates</w:t>
      </w:r>
      <w:r w:rsidRPr="0026194B">
        <w:rPr>
          <w:color w:val="auto"/>
          <w:sz w:val="22"/>
          <w:szCs w:val="22"/>
        </w:rPr>
        <w:t xml:space="preserve">); </w:t>
      </w:r>
    </w:p>
    <w:p w14:paraId="1FEDF17E" w14:textId="5F5C975B" w:rsidR="006D5E76" w:rsidRPr="0026194B" w:rsidRDefault="006D5E76" w:rsidP="008D40F4">
      <w:pPr>
        <w:pStyle w:val="Default"/>
        <w:numPr>
          <w:ilvl w:val="0"/>
          <w:numId w:val="22"/>
        </w:numPr>
        <w:ind w:right="-40"/>
        <w:jc w:val="both"/>
        <w:rPr>
          <w:color w:val="auto"/>
          <w:sz w:val="22"/>
          <w:szCs w:val="22"/>
        </w:rPr>
      </w:pPr>
      <w:r w:rsidRPr="56A5B2ED">
        <w:rPr>
          <w:color w:val="auto"/>
          <w:sz w:val="22"/>
          <w:szCs w:val="22"/>
        </w:rPr>
        <w:t>“</w:t>
      </w:r>
      <w:r w:rsidRPr="56A5B2ED">
        <w:rPr>
          <w:b/>
          <w:bCs/>
          <w:color w:val="auto"/>
          <w:sz w:val="22"/>
          <w:szCs w:val="22"/>
        </w:rPr>
        <w:t>Next period</w:t>
      </w:r>
      <w:r w:rsidRPr="56A5B2ED">
        <w:rPr>
          <w:color w:val="auto"/>
          <w:sz w:val="22"/>
          <w:szCs w:val="22"/>
        </w:rPr>
        <w:t xml:space="preserve">” refers to the </w:t>
      </w:r>
      <w:r w:rsidR="3DACE231" w:rsidRPr="56A5B2ED">
        <w:rPr>
          <w:color w:val="auto"/>
          <w:sz w:val="22"/>
          <w:szCs w:val="22"/>
        </w:rPr>
        <w:t xml:space="preserve">upcoming </w:t>
      </w:r>
      <w:r w:rsidRPr="56A5B2ED">
        <w:rPr>
          <w:color w:val="auto"/>
          <w:sz w:val="22"/>
          <w:szCs w:val="22"/>
        </w:rPr>
        <w:t xml:space="preserve">quarter for which the QDRP is being submitted and for which any </w:t>
      </w:r>
      <w:r w:rsidR="002D188B">
        <w:rPr>
          <w:color w:val="auto"/>
          <w:sz w:val="22"/>
          <w:szCs w:val="22"/>
        </w:rPr>
        <w:t>disbursement request</w:t>
      </w:r>
      <w:r w:rsidRPr="56A5B2ED">
        <w:rPr>
          <w:color w:val="auto"/>
          <w:sz w:val="22"/>
          <w:szCs w:val="22"/>
        </w:rPr>
        <w:t xml:space="preserve"> is intended; and </w:t>
      </w:r>
    </w:p>
    <w:p w14:paraId="065632F6" w14:textId="7E275845" w:rsidR="006D5E76" w:rsidRPr="0026194B" w:rsidRDefault="006D5E76" w:rsidP="008D40F4">
      <w:pPr>
        <w:pStyle w:val="Default"/>
        <w:numPr>
          <w:ilvl w:val="0"/>
          <w:numId w:val="22"/>
        </w:numPr>
        <w:ind w:right="-40"/>
        <w:jc w:val="both"/>
        <w:rPr>
          <w:color w:val="auto"/>
          <w:sz w:val="22"/>
          <w:szCs w:val="22"/>
        </w:rPr>
      </w:pPr>
      <w:r w:rsidRPr="0026194B">
        <w:rPr>
          <w:color w:val="auto"/>
          <w:sz w:val="22"/>
          <w:szCs w:val="22"/>
        </w:rPr>
        <w:lastRenderedPageBreak/>
        <w:t>“</w:t>
      </w:r>
      <w:r w:rsidRPr="0026194B">
        <w:rPr>
          <w:b/>
          <w:bCs/>
          <w:color w:val="auto"/>
          <w:sz w:val="22"/>
          <w:szCs w:val="22"/>
        </w:rPr>
        <w:t>Future periods</w:t>
      </w:r>
      <w:r w:rsidRPr="0026194B">
        <w:rPr>
          <w:color w:val="auto"/>
          <w:sz w:val="22"/>
          <w:szCs w:val="22"/>
        </w:rPr>
        <w:t xml:space="preserve">” refer to the quarters beyond the Next Period, until grant completion. </w:t>
      </w:r>
    </w:p>
    <w:p w14:paraId="33EDC615" w14:textId="77777777" w:rsidR="006D5E76" w:rsidRPr="0026194B" w:rsidRDefault="006D5E76" w:rsidP="008D40F4">
      <w:pPr>
        <w:pStyle w:val="Default"/>
        <w:ind w:right="-40"/>
        <w:jc w:val="both"/>
        <w:rPr>
          <w:color w:val="auto"/>
          <w:sz w:val="22"/>
          <w:szCs w:val="22"/>
        </w:rPr>
      </w:pPr>
    </w:p>
    <w:p w14:paraId="43D4EEBE" w14:textId="5C024774" w:rsidR="006D5E76" w:rsidRPr="0026194B" w:rsidRDefault="006D5E76" w:rsidP="008D40F4">
      <w:pPr>
        <w:pStyle w:val="Default"/>
        <w:ind w:right="-40"/>
        <w:jc w:val="both"/>
        <w:rPr>
          <w:color w:val="auto"/>
          <w:sz w:val="22"/>
          <w:szCs w:val="22"/>
        </w:rPr>
      </w:pPr>
      <w:r w:rsidRPr="0026194B">
        <w:rPr>
          <w:sz w:val="22"/>
          <w:szCs w:val="22"/>
        </w:rPr>
        <w:t>MCC MIS will automatically fill in quarter numbers and reporting period dates for the Current Period, Next Period and Future Period columns.</w:t>
      </w:r>
      <w:r w:rsidRPr="0026194B">
        <w:rPr>
          <w:color w:val="auto"/>
          <w:sz w:val="22"/>
          <w:szCs w:val="22"/>
        </w:rPr>
        <w:t xml:space="preserve"> </w:t>
      </w:r>
      <w:r w:rsidRPr="0026194B">
        <w:rPr>
          <w:sz w:val="22"/>
          <w:szCs w:val="22"/>
        </w:rPr>
        <w:t xml:space="preserve">  </w:t>
      </w:r>
    </w:p>
    <w:p w14:paraId="5AD7C411" w14:textId="77777777" w:rsidR="006D5E76" w:rsidRPr="0026194B" w:rsidRDefault="006D5E76" w:rsidP="008D40F4">
      <w:pPr>
        <w:pStyle w:val="Default"/>
        <w:ind w:right="-40"/>
        <w:jc w:val="both"/>
        <w:rPr>
          <w:color w:val="auto"/>
          <w:sz w:val="22"/>
          <w:szCs w:val="22"/>
        </w:rPr>
      </w:pPr>
    </w:p>
    <w:p w14:paraId="2289A03C" w14:textId="77777777" w:rsidR="006D5E76" w:rsidRPr="0026194B" w:rsidRDefault="006D5E76" w:rsidP="008D40F4">
      <w:pPr>
        <w:pStyle w:val="Default"/>
        <w:ind w:right="-40"/>
        <w:jc w:val="both"/>
        <w:rPr>
          <w:color w:val="auto"/>
          <w:sz w:val="22"/>
          <w:szCs w:val="22"/>
        </w:rPr>
      </w:pPr>
      <w:r w:rsidRPr="0026194B">
        <w:rPr>
          <w:color w:val="auto"/>
          <w:sz w:val="22"/>
          <w:szCs w:val="22"/>
        </w:rPr>
        <w:t>The DFPs also include two “Total” columns and a “Variance” column. These include:</w:t>
      </w:r>
    </w:p>
    <w:p w14:paraId="14D4F265" w14:textId="71F361FE" w:rsidR="006D5E76" w:rsidRPr="0026194B" w:rsidRDefault="006D5E76" w:rsidP="008D40F4">
      <w:pPr>
        <w:pStyle w:val="Default"/>
        <w:numPr>
          <w:ilvl w:val="0"/>
          <w:numId w:val="23"/>
        </w:numPr>
        <w:ind w:right="-40"/>
        <w:jc w:val="both"/>
        <w:rPr>
          <w:color w:val="auto"/>
          <w:sz w:val="22"/>
          <w:szCs w:val="22"/>
        </w:rPr>
      </w:pPr>
      <w:r w:rsidRPr="56A5B2ED">
        <w:rPr>
          <w:color w:val="auto"/>
          <w:sz w:val="22"/>
          <w:szCs w:val="22"/>
        </w:rPr>
        <w:t>“</w:t>
      </w:r>
      <w:r w:rsidRPr="56A5B2ED">
        <w:rPr>
          <w:b/>
          <w:bCs/>
          <w:color w:val="auto"/>
          <w:sz w:val="22"/>
          <w:szCs w:val="22"/>
        </w:rPr>
        <w:t>Total Commitments/Disbursements as Currently Forecasted</w:t>
      </w:r>
      <w:r w:rsidRPr="56A5B2ED">
        <w:rPr>
          <w:color w:val="auto"/>
          <w:sz w:val="22"/>
          <w:szCs w:val="22"/>
        </w:rPr>
        <w:t>,” which</w:t>
      </w:r>
      <w:r w:rsidR="00221C2B">
        <w:rPr>
          <w:color w:val="auto"/>
          <w:sz w:val="22"/>
          <w:szCs w:val="22"/>
        </w:rPr>
        <w:t xml:space="preserve"> is automatically calculated and</w:t>
      </w:r>
      <w:r w:rsidRPr="56A5B2ED">
        <w:rPr>
          <w:color w:val="auto"/>
          <w:sz w:val="22"/>
          <w:szCs w:val="22"/>
        </w:rPr>
        <w:t xml:space="preserve"> reflects the sum of the actual and forecasted commitments/disbursements through the end of the grant;</w:t>
      </w:r>
    </w:p>
    <w:p w14:paraId="4863C2F0" w14:textId="22A21B23" w:rsidR="006D5E76" w:rsidRPr="0026194B" w:rsidRDefault="006D5E76" w:rsidP="008D40F4">
      <w:pPr>
        <w:pStyle w:val="Default"/>
        <w:numPr>
          <w:ilvl w:val="0"/>
          <w:numId w:val="23"/>
        </w:numPr>
        <w:ind w:right="-40"/>
        <w:jc w:val="both"/>
        <w:rPr>
          <w:color w:val="auto"/>
          <w:sz w:val="22"/>
          <w:szCs w:val="22"/>
        </w:rPr>
      </w:pPr>
      <w:r w:rsidRPr="0026194B">
        <w:rPr>
          <w:color w:val="auto"/>
          <w:sz w:val="22"/>
          <w:szCs w:val="22"/>
        </w:rPr>
        <w:t>“</w:t>
      </w:r>
      <w:r w:rsidRPr="0026194B">
        <w:rPr>
          <w:b/>
          <w:bCs/>
          <w:color w:val="auto"/>
          <w:sz w:val="22"/>
          <w:szCs w:val="22"/>
        </w:rPr>
        <w:t>Total as per Current Multi-Year Financial Plan</w:t>
      </w:r>
      <w:r w:rsidRPr="0026194B">
        <w:rPr>
          <w:color w:val="auto"/>
          <w:sz w:val="22"/>
          <w:szCs w:val="22"/>
        </w:rPr>
        <w:t xml:space="preserve">,” which reflects the total amount allocated to a specific project or activity in the current </w:t>
      </w:r>
      <w:r w:rsidR="003D556F">
        <w:rPr>
          <w:color w:val="auto"/>
          <w:sz w:val="22"/>
          <w:szCs w:val="22"/>
        </w:rPr>
        <w:t>Schedule A</w:t>
      </w:r>
      <w:r w:rsidR="003D556F" w:rsidRPr="0026194B">
        <w:rPr>
          <w:color w:val="auto"/>
          <w:sz w:val="22"/>
          <w:szCs w:val="22"/>
        </w:rPr>
        <w:t xml:space="preserve"> </w:t>
      </w:r>
      <w:r w:rsidRPr="0026194B">
        <w:rPr>
          <w:color w:val="auto"/>
          <w:sz w:val="22"/>
          <w:szCs w:val="22"/>
        </w:rPr>
        <w:t xml:space="preserve">(not including any reallocations proposed through </w:t>
      </w:r>
      <w:r w:rsidR="006C3F55">
        <w:rPr>
          <w:color w:val="auto"/>
          <w:sz w:val="22"/>
          <w:szCs w:val="22"/>
        </w:rPr>
        <w:t xml:space="preserve">Schedule A in </w:t>
      </w:r>
      <w:r w:rsidRPr="0026194B">
        <w:rPr>
          <w:color w:val="auto"/>
          <w:sz w:val="22"/>
          <w:szCs w:val="22"/>
        </w:rPr>
        <w:t xml:space="preserve">the current QDRP); and </w:t>
      </w:r>
    </w:p>
    <w:p w14:paraId="363A5E82" w14:textId="2951906F" w:rsidR="006D5E76" w:rsidRPr="0026194B" w:rsidRDefault="006D5E76" w:rsidP="008D40F4">
      <w:pPr>
        <w:pStyle w:val="Default"/>
        <w:numPr>
          <w:ilvl w:val="0"/>
          <w:numId w:val="23"/>
        </w:numPr>
        <w:ind w:right="-40"/>
        <w:jc w:val="both"/>
        <w:rPr>
          <w:color w:val="auto"/>
          <w:sz w:val="22"/>
          <w:szCs w:val="22"/>
        </w:rPr>
      </w:pPr>
      <w:r w:rsidRPr="0026194B">
        <w:rPr>
          <w:color w:val="auto"/>
          <w:sz w:val="22"/>
          <w:szCs w:val="22"/>
        </w:rPr>
        <w:t>“</w:t>
      </w:r>
      <w:r w:rsidRPr="0026194B">
        <w:rPr>
          <w:b/>
          <w:bCs/>
          <w:color w:val="auto"/>
          <w:sz w:val="22"/>
          <w:szCs w:val="22"/>
        </w:rPr>
        <w:t>Variance,</w:t>
      </w:r>
      <w:r w:rsidRPr="0026194B">
        <w:rPr>
          <w:color w:val="auto"/>
          <w:sz w:val="22"/>
          <w:szCs w:val="22"/>
        </w:rPr>
        <w:t>” which reflects the difference between the two “Total” columns.</w:t>
      </w:r>
    </w:p>
    <w:p w14:paraId="391ECC9D" w14:textId="77777777" w:rsidR="00BC4511" w:rsidRPr="0026194B" w:rsidRDefault="00BC4511" w:rsidP="008D40F4">
      <w:pPr>
        <w:pStyle w:val="Default"/>
        <w:ind w:left="720" w:right="-40"/>
        <w:jc w:val="both"/>
        <w:rPr>
          <w:color w:val="auto"/>
          <w:sz w:val="22"/>
          <w:szCs w:val="22"/>
        </w:rPr>
      </w:pPr>
    </w:p>
    <w:p w14:paraId="5F5CF89A" w14:textId="77777777" w:rsidR="0029604E" w:rsidRPr="0026194B" w:rsidRDefault="0029604E" w:rsidP="008D40F4">
      <w:pPr>
        <w:pStyle w:val="Default"/>
        <w:ind w:right="-40"/>
        <w:jc w:val="both"/>
        <w:rPr>
          <w:rStyle w:val="Strong"/>
          <w:sz w:val="22"/>
          <w:szCs w:val="22"/>
        </w:rPr>
      </w:pPr>
    </w:p>
    <w:p w14:paraId="5D21C85B" w14:textId="7FCE00B4" w:rsidR="00A81058" w:rsidRPr="0026194B" w:rsidRDefault="00347131" w:rsidP="008D40F4">
      <w:pPr>
        <w:pStyle w:val="Heading3"/>
        <w:jc w:val="both"/>
        <w:rPr>
          <w:rFonts w:ascii="Times New Roman" w:hAnsi="Times New Roman" w:cs="Times New Roman"/>
        </w:rPr>
      </w:pPr>
      <w:bookmarkStart w:id="12" w:name="_Toc159578693"/>
      <w:r w:rsidRPr="0026194B">
        <w:rPr>
          <w:rFonts w:ascii="Times New Roman" w:hAnsi="Times New Roman" w:cs="Times New Roman"/>
        </w:rPr>
        <w:t>DFP-commitments</w:t>
      </w:r>
      <w:bookmarkEnd w:id="12"/>
      <w:r w:rsidR="0029604E" w:rsidRPr="0026194B">
        <w:rPr>
          <w:rFonts w:ascii="Times New Roman" w:hAnsi="Times New Roman" w:cs="Times New Roman"/>
        </w:rPr>
        <w:t xml:space="preserve"> </w:t>
      </w:r>
    </w:p>
    <w:p w14:paraId="1CAA68CC" w14:textId="77777777" w:rsidR="00B56D4A" w:rsidRDefault="00B56D4A" w:rsidP="008D40F4">
      <w:pPr>
        <w:jc w:val="both"/>
        <w:rPr>
          <w:sz w:val="22"/>
          <w:szCs w:val="22"/>
        </w:rPr>
      </w:pPr>
    </w:p>
    <w:p w14:paraId="1A0FA53A" w14:textId="78F651BB" w:rsidR="00AB1E36" w:rsidRPr="0026194B" w:rsidRDefault="00AB1E36" w:rsidP="008D40F4">
      <w:pPr>
        <w:jc w:val="both"/>
        <w:rPr>
          <w:sz w:val="22"/>
          <w:szCs w:val="22"/>
        </w:rPr>
      </w:pPr>
      <w:r w:rsidRPr="0026194B">
        <w:rPr>
          <w:sz w:val="22"/>
          <w:szCs w:val="22"/>
        </w:rPr>
        <w:t>Actual versus forecasted commitments are defined as follows:</w:t>
      </w:r>
      <w:r w:rsidRPr="0026194B">
        <w:t xml:space="preserve"> </w:t>
      </w:r>
    </w:p>
    <w:p w14:paraId="654263A1" w14:textId="6900070C" w:rsidR="00AB1E36" w:rsidRPr="0026194B" w:rsidRDefault="00AB1E36" w:rsidP="008D40F4">
      <w:pPr>
        <w:numPr>
          <w:ilvl w:val="0"/>
          <w:numId w:val="15"/>
        </w:numPr>
        <w:jc w:val="both"/>
        <w:rPr>
          <w:sz w:val="22"/>
          <w:szCs w:val="22"/>
        </w:rPr>
      </w:pPr>
      <w:r w:rsidRPr="296B8CAF">
        <w:rPr>
          <w:sz w:val="22"/>
          <w:szCs w:val="22"/>
        </w:rPr>
        <w:t xml:space="preserve">An </w:t>
      </w:r>
      <w:r w:rsidRPr="296B8CAF">
        <w:rPr>
          <w:b/>
          <w:bCs/>
          <w:sz w:val="22"/>
          <w:szCs w:val="22"/>
        </w:rPr>
        <w:t>actual commitment</w:t>
      </w:r>
      <w:r w:rsidRPr="296B8CAF">
        <w:rPr>
          <w:sz w:val="22"/>
          <w:szCs w:val="22"/>
        </w:rPr>
        <w:t xml:space="preserve"> includes the value of any contract, grant, </w:t>
      </w:r>
      <w:proofErr w:type="gramStart"/>
      <w:r w:rsidRPr="296B8CAF">
        <w:rPr>
          <w:sz w:val="22"/>
          <w:szCs w:val="22"/>
        </w:rPr>
        <w:t>agreement</w:t>
      </w:r>
      <w:proofErr w:type="gramEnd"/>
      <w:r w:rsidRPr="296B8CAF">
        <w:rPr>
          <w:sz w:val="22"/>
          <w:szCs w:val="22"/>
        </w:rPr>
        <w:t xml:space="preserve"> or other commitment that has been signed/executed</w:t>
      </w:r>
      <w:r w:rsidR="1C90EE9A" w:rsidRPr="296B8CAF">
        <w:rPr>
          <w:sz w:val="22"/>
          <w:szCs w:val="22"/>
        </w:rPr>
        <w:t xml:space="preserve"> or </w:t>
      </w:r>
      <w:r w:rsidR="7219947F" w:rsidRPr="296B8CAF">
        <w:rPr>
          <w:sz w:val="22"/>
          <w:szCs w:val="22"/>
        </w:rPr>
        <w:t xml:space="preserve">non-contract </w:t>
      </w:r>
      <w:r w:rsidR="1C90EE9A" w:rsidRPr="296B8CAF">
        <w:rPr>
          <w:sz w:val="22"/>
          <w:szCs w:val="22"/>
        </w:rPr>
        <w:t>recurring expenses that have been paid.</w:t>
      </w:r>
      <w:r w:rsidRPr="296B8CAF">
        <w:rPr>
          <w:sz w:val="22"/>
          <w:szCs w:val="22"/>
        </w:rPr>
        <w:t xml:space="preserve"> </w:t>
      </w:r>
    </w:p>
    <w:p w14:paraId="13F3EDA1" w14:textId="7FEFB349" w:rsidR="00605D3E" w:rsidRPr="00514B52" w:rsidRDefault="00AB1E36" w:rsidP="008D40F4">
      <w:pPr>
        <w:pStyle w:val="ListParagraph"/>
        <w:numPr>
          <w:ilvl w:val="0"/>
          <w:numId w:val="15"/>
        </w:numPr>
        <w:jc w:val="both"/>
        <w:rPr>
          <w:sz w:val="22"/>
          <w:szCs w:val="22"/>
        </w:rPr>
      </w:pPr>
      <w:r w:rsidRPr="00514B52">
        <w:rPr>
          <w:sz w:val="22"/>
          <w:szCs w:val="22"/>
        </w:rPr>
        <w:t xml:space="preserve">A </w:t>
      </w:r>
      <w:r w:rsidRPr="00514B52">
        <w:rPr>
          <w:b/>
          <w:bCs/>
          <w:sz w:val="22"/>
          <w:szCs w:val="22"/>
        </w:rPr>
        <w:t>forecasted</w:t>
      </w:r>
      <w:r w:rsidR="00FB5E63" w:rsidRPr="00514B52">
        <w:rPr>
          <w:b/>
          <w:bCs/>
          <w:sz w:val="22"/>
          <w:szCs w:val="22"/>
        </w:rPr>
        <w:t>/projected</w:t>
      </w:r>
      <w:r w:rsidR="00C55766">
        <w:rPr>
          <w:b/>
          <w:bCs/>
          <w:sz w:val="22"/>
          <w:szCs w:val="22"/>
        </w:rPr>
        <w:t xml:space="preserve"> </w:t>
      </w:r>
      <w:r w:rsidRPr="00514B52">
        <w:rPr>
          <w:b/>
          <w:bCs/>
          <w:sz w:val="22"/>
          <w:szCs w:val="22"/>
        </w:rPr>
        <w:t>commitment</w:t>
      </w:r>
      <w:r w:rsidRPr="00514B52">
        <w:rPr>
          <w:sz w:val="22"/>
          <w:szCs w:val="22"/>
        </w:rPr>
        <w:t xml:space="preserve"> includes the value of any commitment planned for signature/execution in the future, such as a contract, grant agreement or contract options, but which has not yet been signed/executed</w:t>
      </w:r>
      <w:r w:rsidR="6A0E6ED2" w:rsidRPr="00514B52">
        <w:rPr>
          <w:sz w:val="22"/>
          <w:szCs w:val="22"/>
        </w:rPr>
        <w:t xml:space="preserve">, and </w:t>
      </w:r>
      <w:r w:rsidR="16F0BEE4" w:rsidRPr="00514B52">
        <w:rPr>
          <w:sz w:val="22"/>
          <w:szCs w:val="22"/>
        </w:rPr>
        <w:t>any</w:t>
      </w:r>
      <w:r w:rsidR="1F649D51" w:rsidRPr="00514B52">
        <w:rPr>
          <w:sz w:val="22"/>
          <w:szCs w:val="22"/>
        </w:rPr>
        <w:t xml:space="preserve"> non-contract recurring expenses </w:t>
      </w:r>
      <w:r w:rsidR="25B94E30" w:rsidRPr="00514B52">
        <w:rPr>
          <w:sz w:val="22"/>
          <w:szCs w:val="22"/>
        </w:rPr>
        <w:t>which are expected to be incurred</w:t>
      </w:r>
      <w:r w:rsidRPr="00514B52">
        <w:rPr>
          <w:sz w:val="22"/>
          <w:szCs w:val="22"/>
        </w:rPr>
        <w:t>.</w:t>
      </w:r>
    </w:p>
    <w:p w14:paraId="40E6E4B5" w14:textId="77777777" w:rsidR="000C57E1" w:rsidRPr="0026194B" w:rsidRDefault="000C57E1" w:rsidP="008D40F4">
      <w:pPr>
        <w:jc w:val="both"/>
        <w:rPr>
          <w:sz w:val="22"/>
          <w:szCs w:val="22"/>
        </w:rPr>
      </w:pPr>
    </w:p>
    <w:p w14:paraId="0FFB01DA" w14:textId="1F3C6366" w:rsidR="00204749" w:rsidRPr="0026194B" w:rsidRDefault="00A81058" w:rsidP="008D40F4">
      <w:pPr>
        <w:pStyle w:val="Heading4"/>
        <w:jc w:val="both"/>
        <w:rPr>
          <w:rFonts w:ascii="Times New Roman" w:hAnsi="Times New Roman" w:cs="Times New Roman"/>
        </w:rPr>
      </w:pPr>
      <w:r w:rsidRPr="0026194B">
        <w:rPr>
          <w:rFonts w:ascii="Times New Roman" w:hAnsi="Times New Roman" w:cs="Times New Roman"/>
        </w:rPr>
        <w:t xml:space="preserve">Columns in the </w:t>
      </w:r>
      <w:r w:rsidR="00347131" w:rsidRPr="0026194B">
        <w:rPr>
          <w:rFonts w:ascii="Times New Roman" w:hAnsi="Times New Roman" w:cs="Times New Roman"/>
        </w:rPr>
        <w:t>DFP-commitments</w:t>
      </w:r>
      <w:r w:rsidRPr="0026194B">
        <w:rPr>
          <w:rFonts w:ascii="Times New Roman" w:hAnsi="Times New Roman" w:cs="Times New Roman"/>
        </w:rPr>
        <w:t xml:space="preserve"> </w:t>
      </w:r>
    </w:p>
    <w:p w14:paraId="1C4708D3" w14:textId="77777777" w:rsidR="00FD47DD" w:rsidRDefault="00FD47DD" w:rsidP="008D40F4">
      <w:pPr>
        <w:jc w:val="both"/>
        <w:rPr>
          <w:sz w:val="22"/>
          <w:szCs w:val="22"/>
        </w:rPr>
      </w:pPr>
    </w:p>
    <w:p w14:paraId="4EFA80A0" w14:textId="05D37548" w:rsidR="003B4C1E" w:rsidRPr="0026194B" w:rsidRDefault="003B4C1E" w:rsidP="008D40F4">
      <w:pPr>
        <w:jc w:val="both"/>
        <w:rPr>
          <w:sz w:val="22"/>
          <w:szCs w:val="22"/>
        </w:rPr>
      </w:pPr>
      <w:r w:rsidRPr="0026194B">
        <w:rPr>
          <w:sz w:val="22"/>
          <w:szCs w:val="22"/>
        </w:rPr>
        <w:t xml:space="preserve">The descriptions below </w:t>
      </w:r>
      <w:r w:rsidR="007A75B0" w:rsidRPr="0026194B">
        <w:rPr>
          <w:sz w:val="22"/>
          <w:szCs w:val="22"/>
        </w:rPr>
        <w:t xml:space="preserve">provide additional information on </w:t>
      </w:r>
      <w:r w:rsidRPr="0026194B">
        <w:rPr>
          <w:sz w:val="22"/>
          <w:szCs w:val="22"/>
        </w:rPr>
        <w:t xml:space="preserve">the columns in the </w:t>
      </w:r>
      <w:r w:rsidR="00347131" w:rsidRPr="0026194B">
        <w:rPr>
          <w:sz w:val="22"/>
          <w:szCs w:val="22"/>
        </w:rPr>
        <w:t>DFP-commitments</w:t>
      </w:r>
      <w:r w:rsidR="00771C9F" w:rsidRPr="0026194B">
        <w:rPr>
          <w:sz w:val="22"/>
          <w:szCs w:val="22"/>
        </w:rPr>
        <w:t xml:space="preserve">. </w:t>
      </w:r>
      <w:r w:rsidRPr="0026194B">
        <w:rPr>
          <w:b/>
          <w:sz w:val="22"/>
          <w:szCs w:val="22"/>
        </w:rPr>
        <w:t xml:space="preserve"> </w:t>
      </w:r>
      <w:r w:rsidR="00B2202D" w:rsidRPr="0026194B">
        <w:rPr>
          <w:b/>
          <w:bCs/>
          <w:sz w:val="22"/>
          <w:szCs w:val="22"/>
        </w:rPr>
        <w:t xml:space="preserve"> </w:t>
      </w:r>
      <w:r w:rsidR="00B2202D" w:rsidRPr="0026194B" w:rsidDel="00B2202D">
        <w:rPr>
          <w:sz w:val="22"/>
          <w:szCs w:val="22"/>
        </w:rPr>
        <w:t xml:space="preserve"> </w:t>
      </w:r>
    </w:p>
    <w:p w14:paraId="15CF53C0" w14:textId="77777777" w:rsidR="00251F8E" w:rsidRPr="0026194B" w:rsidRDefault="00251F8E" w:rsidP="008D40F4">
      <w:pPr>
        <w:jc w:val="both"/>
        <w:rPr>
          <w:sz w:val="22"/>
          <w:szCs w:val="22"/>
        </w:rPr>
      </w:pPr>
    </w:p>
    <w:p w14:paraId="7130E881" w14:textId="5EF363E3" w:rsidR="00DE381B" w:rsidRPr="0026194B" w:rsidRDefault="116C0A52" w:rsidP="008D40F4">
      <w:pPr>
        <w:pStyle w:val="Default"/>
        <w:ind w:right="-40"/>
        <w:jc w:val="both"/>
        <w:rPr>
          <w:color w:val="auto"/>
          <w:sz w:val="22"/>
          <w:szCs w:val="22"/>
        </w:rPr>
      </w:pPr>
      <w:r w:rsidRPr="0F9B9A23">
        <w:rPr>
          <w:b/>
          <w:bCs/>
          <w:i/>
          <w:iCs/>
          <w:color w:val="auto"/>
          <w:sz w:val="22"/>
          <w:szCs w:val="22"/>
        </w:rPr>
        <w:t>Actual Cumulative Commitments at Beginning of Current Period</w:t>
      </w:r>
      <w:r w:rsidRPr="0F9B9A23">
        <w:rPr>
          <w:i/>
          <w:iCs/>
          <w:color w:val="auto"/>
          <w:sz w:val="22"/>
          <w:szCs w:val="22"/>
        </w:rPr>
        <w:t xml:space="preserve"> </w:t>
      </w:r>
      <w:r w:rsidRPr="0F9B9A23">
        <w:rPr>
          <w:color w:val="auto"/>
          <w:sz w:val="22"/>
          <w:szCs w:val="22"/>
        </w:rPr>
        <w:t>(</w:t>
      </w:r>
      <w:r w:rsidR="1F718EED" w:rsidRPr="0F9B9A23">
        <w:rPr>
          <w:color w:val="auto"/>
          <w:sz w:val="22"/>
          <w:szCs w:val="22"/>
        </w:rPr>
        <w:t>Column 1</w:t>
      </w:r>
      <w:r w:rsidRPr="0F9B9A23">
        <w:rPr>
          <w:color w:val="auto"/>
          <w:sz w:val="22"/>
          <w:szCs w:val="22"/>
        </w:rPr>
        <w:t>)</w:t>
      </w:r>
      <w:r w:rsidR="1F718EED" w:rsidRPr="0F9B9A23">
        <w:rPr>
          <w:color w:val="auto"/>
          <w:sz w:val="22"/>
          <w:szCs w:val="22"/>
        </w:rPr>
        <w:t xml:space="preserve">: </w:t>
      </w:r>
      <w:r w:rsidR="387455E3" w:rsidRPr="0F9B9A23">
        <w:rPr>
          <w:color w:val="auto"/>
          <w:sz w:val="22"/>
          <w:szCs w:val="22"/>
        </w:rPr>
        <w:t xml:space="preserve">This column </w:t>
      </w:r>
      <w:r w:rsidR="1F718EED" w:rsidRPr="0F9B9A23">
        <w:rPr>
          <w:color w:val="auto"/>
          <w:sz w:val="22"/>
          <w:szCs w:val="22"/>
        </w:rPr>
        <w:t>reflect</w:t>
      </w:r>
      <w:r w:rsidR="387455E3" w:rsidRPr="0F9B9A23">
        <w:rPr>
          <w:color w:val="auto"/>
          <w:sz w:val="22"/>
          <w:szCs w:val="22"/>
        </w:rPr>
        <w:t>s</w:t>
      </w:r>
      <w:r w:rsidR="1F718EED" w:rsidRPr="0F9B9A23">
        <w:rPr>
          <w:color w:val="auto"/>
          <w:sz w:val="22"/>
          <w:szCs w:val="22"/>
        </w:rPr>
        <w:t xml:space="preserve"> all </w:t>
      </w:r>
      <w:r w:rsidR="35742EED" w:rsidRPr="0F9B9A23">
        <w:rPr>
          <w:color w:val="auto"/>
          <w:sz w:val="22"/>
          <w:szCs w:val="22"/>
        </w:rPr>
        <w:t xml:space="preserve">actual </w:t>
      </w:r>
      <w:r w:rsidR="1F718EED" w:rsidRPr="0F9B9A23">
        <w:rPr>
          <w:color w:val="auto"/>
          <w:sz w:val="22"/>
          <w:szCs w:val="22"/>
        </w:rPr>
        <w:t>commitments</w:t>
      </w:r>
      <w:r w:rsidR="35742EED" w:rsidRPr="0F9B9A23">
        <w:rPr>
          <w:color w:val="auto"/>
          <w:sz w:val="22"/>
          <w:szCs w:val="22"/>
        </w:rPr>
        <w:t xml:space="preserve"> </w:t>
      </w:r>
      <w:r w:rsidR="0671A895" w:rsidRPr="0F9B9A23">
        <w:rPr>
          <w:color w:val="auto"/>
          <w:sz w:val="22"/>
          <w:szCs w:val="22"/>
        </w:rPr>
        <w:t>which have occurred in period(s) prior to the first day of the current period</w:t>
      </w:r>
      <w:r w:rsidR="1F718EED" w:rsidRPr="0F9B9A23">
        <w:rPr>
          <w:color w:val="auto"/>
          <w:sz w:val="22"/>
          <w:szCs w:val="22"/>
        </w:rPr>
        <w:t xml:space="preserve">: executed contracts, grants, agreements, recurring expenses, etc. For example, if </w:t>
      </w:r>
      <w:r w:rsidR="6318DEAE" w:rsidRPr="0F9B9A23">
        <w:rPr>
          <w:color w:val="auto"/>
          <w:sz w:val="22"/>
          <w:szCs w:val="22"/>
        </w:rPr>
        <w:t>the</w:t>
      </w:r>
      <w:r w:rsidR="1F718EED" w:rsidRPr="0F9B9A23">
        <w:rPr>
          <w:color w:val="auto"/>
          <w:sz w:val="22"/>
          <w:szCs w:val="22"/>
        </w:rPr>
        <w:t xml:space="preserve"> current period is April 1 to June 30, all commitments made before April 1 should be listed in Column 1 of the DFP</w:t>
      </w:r>
      <w:r w:rsidR="2731D95A" w:rsidRPr="0F9B9A23">
        <w:rPr>
          <w:color w:val="auto"/>
          <w:sz w:val="22"/>
          <w:szCs w:val="22"/>
        </w:rPr>
        <w:t>-c</w:t>
      </w:r>
      <w:r w:rsidR="1F718EED" w:rsidRPr="0F9B9A23">
        <w:rPr>
          <w:color w:val="auto"/>
          <w:sz w:val="22"/>
          <w:szCs w:val="22"/>
        </w:rPr>
        <w:t>ommitments for the QDRP prepared and submitted for MCC’s approval on June 10.</w:t>
      </w:r>
      <w:r w:rsidR="253EB780" w:rsidRPr="0F9B9A23">
        <w:rPr>
          <w:color w:val="auto"/>
          <w:sz w:val="22"/>
          <w:szCs w:val="22"/>
        </w:rPr>
        <w:t xml:space="preserve">   In this example, the amount at the activity level should equal the</w:t>
      </w:r>
      <w:r w:rsidR="696C73F8" w:rsidRPr="0F9B9A23">
        <w:rPr>
          <w:color w:val="auto"/>
          <w:sz w:val="22"/>
          <w:szCs w:val="22"/>
        </w:rPr>
        <w:t xml:space="preserve"> Actual Cumulative Commitments</w:t>
      </w:r>
      <w:r w:rsidR="253EB780" w:rsidRPr="0F9B9A23">
        <w:rPr>
          <w:color w:val="auto"/>
          <w:sz w:val="22"/>
          <w:szCs w:val="22"/>
        </w:rPr>
        <w:t xml:space="preserve"> reported in the March MCDR.  </w:t>
      </w:r>
    </w:p>
    <w:p w14:paraId="40607954" w14:textId="77777777" w:rsidR="00251F8E" w:rsidRPr="0026194B" w:rsidRDefault="00251F8E" w:rsidP="008D40F4">
      <w:pPr>
        <w:pStyle w:val="Default"/>
        <w:ind w:right="-40"/>
        <w:jc w:val="both"/>
        <w:rPr>
          <w:color w:val="auto"/>
          <w:sz w:val="22"/>
          <w:szCs w:val="22"/>
        </w:rPr>
      </w:pPr>
    </w:p>
    <w:p w14:paraId="7581122B" w14:textId="501B73F7" w:rsidR="00DE381B" w:rsidRPr="0026194B" w:rsidRDefault="00A46B54" w:rsidP="008D40F4">
      <w:pPr>
        <w:pStyle w:val="Default"/>
        <w:ind w:right="-40"/>
        <w:jc w:val="both"/>
        <w:rPr>
          <w:sz w:val="22"/>
          <w:szCs w:val="22"/>
        </w:rPr>
      </w:pPr>
      <w:r w:rsidRPr="0026194B">
        <w:rPr>
          <w:b/>
          <w:bCs/>
          <w:i/>
          <w:iCs/>
          <w:sz w:val="22"/>
          <w:szCs w:val="22"/>
        </w:rPr>
        <w:t>Projected Commitments during the Current Period</w:t>
      </w:r>
      <w:r w:rsidRPr="0026194B">
        <w:rPr>
          <w:bCs/>
          <w:i/>
          <w:iCs/>
          <w:sz w:val="22"/>
          <w:szCs w:val="22"/>
        </w:rPr>
        <w:t xml:space="preserve"> </w:t>
      </w:r>
      <w:r w:rsidRPr="00C41AC8">
        <w:rPr>
          <w:iCs/>
          <w:sz w:val="22"/>
          <w:szCs w:val="22"/>
        </w:rPr>
        <w:t>(</w:t>
      </w:r>
      <w:r w:rsidR="003B4C1E" w:rsidRPr="00C41AC8">
        <w:rPr>
          <w:iCs/>
          <w:sz w:val="22"/>
          <w:szCs w:val="22"/>
        </w:rPr>
        <w:t>Column 2</w:t>
      </w:r>
      <w:r w:rsidRPr="00C41AC8">
        <w:rPr>
          <w:iCs/>
          <w:sz w:val="22"/>
          <w:szCs w:val="22"/>
        </w:rPr>
        <w:t>)</w:t>
      </w:r>
      <w:r w:rsidR="003B4C1E" w:rsidRPr="00C41AC8">
        <w:rPr>
          <w:iCs/>
          <w:sz w:val="22"/>
          <w:szCs w:val="22"/>
        </w:rPr>
        <w:t>:</w:t>
      </w:r>
      <w:r w:rsidR="003B4C1E" w:rsidRPr="0026194B">
        <w:rPr>
          <w:sz w:val="22"/>
          <w:szCs w:val="22"/>
        </w:rPr>
        <w:t xml:space="preserve">  </w:t>
      </w:r>
      <w:r w:rsidRPr="0026194B">
        <w:rPr>
          <w:bCs/>
          <w:sz w:val="22"/>
          <w:szCs w:val="22"/>
        </w:rPr>
        <w:t xml:space="preserve">This column </w:t>
      </w:r>
      <w:r w:rsidR="003B4C1E" w:rsidRPr="0026194B">
        <w:rPr>
          <w:bCs/>
          <w:sz w:val="22"/>
          <w:szCs w:val="22"/>
        </w:rPr>
        <w:t>reflect</w:t>
      </w:r>
      <w:r w:rsidRPr="0026194B">
        <w:rPr>
          <w:bCs/>
          <w:sz w:val="22"/>
          <w:szCs w:val="22"/>
        </w:rPr>
        <w:t>s</w:t>
      </w:r>
      <w:r w:rsidR="003B4C1E" w:rsidRPr="0026194B">
        <w:rPr>
          <w:bCs/>
          <w:sz w:val="22"/>
          <w:szCs w:val="22"/>
        </w:rPr>
        <w:t xml:space="preserve"> c</w:t>
      </w:r>
      <w:r w:rsidR="003B4C1E" w:rsidRPr="0026194B">
        <w:rPr>
          <w:sz w:val="22"/>
          <w:szCs w:val="22"/>
        </w:rPr>
        <w:t xml:space="preserve">ommitments made to date in the current period </w:t>
      </w:r>
      <w:r w:rsidR="003B4C1E" w:rsidRPr="0026194B">
        <w:rPr>
          <w:i/>
          <w:sz w:val="22"/>
          <w:szCs w:val="22"/>
        </w:rPr>
        <w:t>plus</w:t>
      </w:r>
      <w:r w:rsidR="003B4C1E" w:rsidRPr="0026194B">
        <w:rPr>
          <w:sz w:val="22"/>
          <w:szCs w:val="22"/>
        </w:rPr>
        <w:t xml:space="preserve"> projected commitments for the remainder of the current period. For example, an AE signed seven contracts during the quarter starting April 1 and ending on June 30. The AE is submitting a DR package to MCC for approval on June 10 (with 20 days remaining in the current period) and it anticipates making two more commitments in the time remaining. If the probability of executing these projected commitments is high, the AE should include all nine commitments in the Column 2 of the DFP Commitments. </w:t>
      </w:r>
    </w:p>
    <w:p w14:paraId="483CAC83" w14:textId="77777777" w:rsidR="00251F8E" w:rsidRPr="0026194B" w:rsidRDefault="00251F8E" w:rsidP="008D40F4">
      <w:pPr>
        <w:pStyle w:val="Default"/>
        <w:ind w:right="-40"/>
        <w:jc w:val="both"/>
        <w:rPr>
          <w:color w:val="auto"/>
          <w:sz w:val="22"/>
          <w:szCs w:val="22"/>
        </w:rPr>
      </w:pPr>
    </w:p>
    <w:p w14:paraId="4F1297D5" w14:textId="5AB2F900" w:rsidR="00DE381B" w:rsidRPr="0026194B" w:rsidRDefault="00693410" w:rsidP="008D40F4">
      <w:pPr>
        <w:pStyle w:val="Default"/>
        <w:ind w:right="-40"/>
        <w:jc w:val="both"/>
        <w:rPr>
          <w:sz w:val="22"/>
          <w:szCs w:val="22"/>
        </w:rPr>
      </w:pPr>
      <w:r w:rsidRPr="0026194B">
        <w:rPr>
          <w:b/>
          <w:bCs/>
          <w:i/>
          <w:iCs/>
          <w:sz w:val="22"/>
          <w:szCs w:val="22"/>
        </w:rPr>
        <w:t>Next Period</w:t>
      </w:r>
      <w:r w:rsidRPr="0026194B">
        <w:rPr>
          <w:i/>
          <w:iCs/>
          <w:sz w:val="22"/>
          <w:szCs w:val="22"/>
        </w:rPr>
        <w:t xml:space="preserve"> </w:t>
      </w:r>
      <w:r w:rsidRPr="009733DF">
        <w:rPr>
          <w:sz w:val="22"/>
          <w:szCs w:val="22"/>
        </w:rPr>
        <w:t>(</w:t>
      </w:r>
      <w:r w:rsidR="003B4C1E" w:rsidRPr="009733DF">
        <w:rPr>
          <w:sz w:val="22"/>
          <w:szCs w:val="22"/>
        </w:rPr>
        <w:t>Columns 3-5</w:t>
      </w:r>
      <w:r w:rsidRPr="009733DF">
        <w:rPr>
          <w:sz w:val="22"/>
          <w:szCs w:val="22"/>
        </w:rPr>
        <w:t>)</w:t>
      </w:r>
      <w:r w:rsidR="003B4C1E" w:rsidRPr="009733DF">
        <w:rPr>
          <w:sz w:val="22"/>
          <w:szCs w:val="22"/>
        </w:rPr>
        <w:t xml:space="preserve">: </w:t>
      </w:r>
      <w:r w:rsidR="009C49B0" w:rsidRPr="0026194B">
        <w:rPr>
          <w:sz w:val="22"/>
          <w:szCs w:val="22"/>
        </w:rPr>
        <w:t>These</w:t>
      </w:r>
      <w:r w:rsidR="003B4C1E" w:rsidRPr="0026194B">
        <w:rPr>
          <w:sz w:val="22"/>
          <w:szCs w:val="22"/>
        </w:rPr>
        <w:t xml:space="preserve"> columns show expected new commitments, by month, for the next quarter.</w:t>
      </w:r>
    </w:p>
    <w:p w14:paraId="1F0765EB" w14:textId="77777777" w:rsidR="00251F8E" w:rsidRPr="0026194B" w:rsidRDefault="00251F8E" w:rsidP="008D40F4">
      <w:pPr>
        <w:pStyle w:val="Default"/>
        <w:ind w:right="-40"/>
        <w:jc w:val="both"/>
        <w:rPr>
          <w:color w:val="auto"/>
          <w:sz w:val="22"/>
          <w:szCs w:val="22"/>
        </w:rPr>
      </w:pPr>
    </w:p>
    <w:p w14:paraId="1FED655C" w14:textId="57E895CA" w:rsidR="00CB0154" w:rsidRPr="0026194B" w:rsidRDefault="00C705E7" w:rsidP="008D40F4">
      <w:pPr>
        <w:pStyle w:val="Default"/>
        <w:spacing w:line="259" w:lineRule="auto"/>
        <w:ind w:right="-40"/>
        <w:jc w:val="both"/>
        <w:rPr>
          <w:sz w:val="22"/>
          <w:szCs w:val="22"/>
        </w:rPr>
      </w:pPr>
      <w:r w:rsidRPr="56A5B2ED">
        <w:rPr>
          <w:b/>
          <w:bCs/>
          <w:i/>
          <w:iCs/>
          <w:sz w:val="22"/>
          <w:szCs w:val="22"/>
        </w:rPr>
        <w:t xml:space="preserve">Next Period – </w:t>
      </w:r>
      <w:r w:rsidR="7A22B118" w:rsidRPr="73E77B15">
        <w:rPr>
          <w:b/>
          <w:bCs/>
          <w:i/>
          <w:iCs/>
          <w:sz w:val="22"/>
          <w:szCs w:val="22"/>
        </w:rPr>
        <w:t xml:space="preserve">Total </w:t>
      </w:r>
      <w:r w:rsidRPr="56A5B2ED">
        <w:rPr>
          <w:b/>
          <w:bCs/>
          <w:i/>
          <w:iCs/>
          <w:sz w:val="22"/>
          <w:szCs w:val="22"/>
        </w:rPr>
        <w:t>Quarter</w:t>
      </w:r>
      <w:r w:rsidRPr="73E77B15">
        <w:rPr>
          <w:b/>
          <w:i/>
          <w:sz w:val="22"/>
          <w:szCs w:val="22"/>
        </w:rPr>
        <w:t xml:space="preserve"> </w:t>
      </w:r>
      <w:r w:rsidRPr="56A5B2ED">
        <w:rPr>
          <w:sz w:val="22"/>
          <w:szCs w:val="22"/>
        </w:rPr>
        <w:t>(</w:t>
      </w:r>
      <w:r w:rsidR="003B4C1E" w:rsidRPr="56A5B2ED">
        <w:rPr>
          <w:sz w:val="22"/>
          <w:szCs w:val="22"/>
        </w:rPr>
        <w:t>Column 6</w:t>
      </w:r>
      <w:r w:rsidRPr="56A5B2ED">
        <w:rPr>
          <w:sz w:val="22"/>
          <w:szCs w:val="22"/>
        </w:rPr>
        <w:t>)</w:t>
      </w:r>
      <w:r w:rsidR="003B4C1E" w:rsidRPr="56A5B2ED">
        <w:rPr>
          <w:sz w:val="22"/>
          <w:szCs w:val="22"/>
        </w:rPr>
        <w:t xml:space="preserve">: </w:t>
      </w:r>
      <w:r w:rsidRPr="56A5B2ED">
        <w:rPr>
          <w:sz w:val="22"/>
          <w:szCs w:val="22"/>
        </w:rPr>
        <w:t>This column</w:t>
      </w:r>
      <w:r w:rsidR="003B4C1E" w:rsidRPr="56A5B2ED">
        <w:rPr>
          <w:sz w:val="22"/>
          <w:szCs w:val="22"/>
        </w:rPr>
        <w:t xml:space="preserve"> is a</w:t>
      </w:r>
      <w:r w:rsidR="00A56A4D">
        <w:rPr>
          <w:sz w:val="22"/>
          <w:szCs w:val="22"/>
        </w:rPr>
        <w:t>n</w:t>
      </w:r>
      <w:r w:rsidR="003B4C1E" w:rsidRPr="56A5B2ED">
        <w:rPr>
          <w:sz w:val="22"/>
          <w:szCs w:val="22"/>
        </w:rPr>
        <w:t xml:space="preserve"> </w:t>
      </w:r>
      <w:r w:rsidR="1C83E2F0" w:rsidRPr="56A5B2ED">
        <w:rPr>
          <w:sz w:val="22"/>
          <w:szCs w:val="22"/>
        </w:rPr>
        <w:t>auto</w:t>
      </w:r>
      <w:r w:rsidR="003B4C1E" w:rsidRPr="56A5B2ED">
        <w:rPr>
          <w:sz w:val="22"/>
          <w:szCs w:val="22"/>
        </w:rPr>
        <w:t xml:space="preserve">-calculating summation of the monthly </w:t>
      </w:r>
      <w:r w:rsidR="32C61FBA" w:rsidRPr="003E317B">
        <w:rPr>
          <w:sz w:val="22"/>
          <w:szCs w:val="22"/>
        </w:rPr>
        <w:t>values</w:t>
      </w:r>
      <w:r w:rsidR="003B4C1E" w:rsidRPr="56A5B2ED">
        <w:rPr>
          <w:sz w:val="22"/>
          <w:szCs w:val="22"/>
        </w:rPr>
        <w:t xml:space="preserve"> that shows </w:t>
      </w:r>
      <w:r w:rsidR="00CB0154" w:rsidRPr="56A5B2ED">
        <w:rPr>
          <w:sz w:val="22"/>
          <w:szCs w:val="22"/>
        </w:rPr>
        <w:t xml:space="preserve">total </w:t>
      </w:r>
      <w:r w:rsidR="003B4C1E" w:rsidRPr="56A5B2ED">
        <w:rPr>
          <w:sz w:val="22"/>
          <w:szCs w:val="22"/>
        </w:rPr>
        <w:t xml:space="preserve">forecasted commitments for the next quarter. </w:t>
      </w:r>
    </w:p>
    <w:p w14:paraId="49E69502" w14:textId="77777777" w:rsidR="00251F8E" w:rsidRPr="0026194B" w:rsidRDefault="00251F8E" w:rsidP="008D40F4">
      <w:pPr>
        <w:pStyle w:val="Default"/>
        <w:ind w:right="-40"/>
        <w:jc w:val="both"/>
        <w:rPr>
          <w:color w:val="auto"/>
          <w:sz w:val="22"/>
          <w:szCs w:val="22"/>
        </w:rPr>
      </w:pPr>
    </w:p>
    <w:p w14:paraId="2FCE3FDA" w14:textId="72106AF1" w:rsidR="00762255" w:rsidRPr="0026194B" w:rsidRDefault="00B60E7C" w:rsidP="008D40F4">
      <w:pPr>
        <w:pStyle w:val="Default"/>
        <w:ind w:right="-40"/>
        <w:jc w:val="both"/>
        <w:rPr>
          <w:sz w:val="22"/>
          <w:szCs w:val="22"/>
        </w:rPr>
      </w:pPr>
      <w:r w:rsidRPr="0026194B">
        <w:rPr>
          <w:b/>
          <w:bCs/>
          <w:i/>
          <w:iCs/>
          <w:sz w:val="22"/>
          <w:szCs w:val="22"/>
        </w:rPr>
        <w:t>Future Periods</w:t>
      </w:r>
      <w:r w:rsidRPr="00522564">
        <w:rPr>
          <w:sz w:val="22"/>
          <w:szCs w:val="22"/>
        </w:rPr>
        <w:t xml:space="preserve"> (</w:t>
      </w:r>
      <w:r w:rsidR="003B4C1E" w:rsidRPr="00522564">
        <w:rPr>
          <w:sz w:val="22"/>
          <w:szCs w:val="22"/>
        </w:rPr>
        <w:t>Column 7</w:t>
      </w:r>
      <w:r w:rsidR="00560989">
        <w:rPr>
          <w:sz w:val="22"/>
          <w:szCs w:val="22"/>
        </w:rPr>
        <w:t xml:space="preserve"> plus additional columns</w:t>
      </w:r>
      <w:r w:rsidRPr="00522564">
        <w:rPr>
          <w:sz w:val="22"/>
          <w:szCs w:val="22"/>
        </w:rPr>
        <w:t>)</w:t>
      </w:r>
      <w:r w:rsidR="003B4C1E" w:rsidRPr="00522564">
        <w:rPr>
          <w:sz w:val="22"/>
          <w:szCs w:val="22"/>
        </w:rPr>
        <w:t xml:space="preserve">: </w:t>
      </w:r>
      <w:r w:rsidRPr="0026194B">
        <w:rPr>
          <w:bCs/>
          <w:sz w:val="22"/>
          <w:szCs w:val="22"/>
        </w:rPr>
        <w:t>These</w:t>
      </w:r>
      <w:r w:rsidR="003B4C1E" w:rsidRPr="0026194B">
        <w:rPr>
          <w:sz w:val="22"/>
          <w:szCs w:val="22"/>
        </w:rPr>
        <w:t xml:space="preserve"> columns show expected new commitments, by quarter, for the life of the MCC grant.</w:t>
      </w:r>
    </w:p>
    <w:p w14:paraId="4DEA2ABF" w14:textId="77777777" w:rsidR="00251F8E" w:rsidRPr="0026194B" w:rsidRDefault="00251F8E" w:rsidP="008D40F4">
      <w:pPr>
        <w:pStyle w:val="Default"/>
        <w:ind w:right="-40"/>
        <w:jc w:val="both"/>
        <w:rPr>
          <w:sz w:val="22"/>
          <w:szCs w:val="22"/>
        </w:rPr>
      </w:pPr>
    </w:p>
    <w:p w14:paraId="1DB13ED5" w14:textId="2AEE42D4" w:rsidR="00251F8E" w:rsidRPr="0026194B" w:rsidRDefault="003B4C1E" w:rsidP="008D40F4">
      <w:pPr>
        <w:pStyle w:val="Default"/>
        <w:ind w:right="-40"/>
        <w:jc w:val="both"/>
        <w:rPr>
          <w:i/>
          <w:iCs/>
          <w:sz w:val="22"/>
          <w:szCs w:val="22"/>
        </w:rPr>
      </w:pPr>
      <w:r w:rsidRPr="56A5B2ED">
        <w:rPr>
          <w:b/>
          <w:bCs/>
          <w:i/>
          <w:iCs/>
          <w:sz w:val="22"/>
          <w:szCs w:val="22"/>
        </w:rPr>
        <w:t>Total Commitments as Currently Forecasted</w:t>
      </w:r>
      <w:r w:rsidRPr="56A5B2ED">
        <w:rPr>
          <w:sz w:val="22"/>
          <w:szCs w:val="22"/>
        </w:rPr>
        <w:t>: This is a</w:t>
      </w:r>
      <w:r w:rsidR="006D02A0" w:rsidRPr="56A5B2ED">
        <w:rPr>
          <w:sz w:val="22"/>
          <w:szCs w:val="22"/>
        </w:rPr>
        <w:t>n auto</w:t>
      </w:r>
      <w:r w:rsidRPr="56A5B2ED">
        <w:rPr>
          <w:sz w:val="22"/>
          <w:szCs w:val="22"/>
        </w:rPr>
        <w:t>-calculat</w:t>
      </w:r>
      <w:r w:rsidR="4344E685" w:rsidRPr="56A5B2ED">
        <w:rPr>
          <w:sz w:val="22"/>
          <w:szCs w:val="22"/>
        </w:rPr>
        <w:t>ing</w:t>
      </w:r>
      <w:r w:rsidRPr="56A5B2ED">
        <w:rPr>
          <w:sz w:val="22"/>
          <w:szCs w:val="22"/>
        </w:rPr>
        <w:t xml:space="preserve"> summation of the actual cumulative commitments made in the cumulative period(s), plus projected commitments in the current period, plus forecasted commitments through the end of the grant. </w:t>
      </w:r>
      <w:r w:rsidR="00B049BE" w:rsidRPr="56A5B2ED">
        <w:rPr>
          <w:sz w:val="22"/>
          <w:szCs w:val="22"/>
        </w:rPr>
        <w:t>Figures in this</w:t>
      </w:r>
      <w:r w:rsidRPr="56A5B2ED">
        <w:rPr>
          <w:sz w:val="22"/>
          <w:szCs w:val="22"/>
        </w:rPr>
        <w:t xml:space="preserve"> column should be close to those in the Total </w:t>
      </w:r>
      <w:r w:rsidR="00251F8E" w:rsidRPr="56A5B2ED">
        <w:rPr>
          <w:sz w:val="22"/>
          <w:szCs w:val="22"/>
        </w:rPr>
        <w:t>a</w:t>
      </w:r>
      <w:r w:rsidRPr="56A5B2ED">
        <w:rPr>
          <w:sz w:val="22"/>
          <w:szCs w:val="22"/>
        </w:rPr>
        <w:t>s Per Current Approved Multi-Year Financial Plan column</w:t>
      </w:r>
      <w:r w:rsidR="00EA0B44" w:rsidRPr="56A5B2ED">
        <w:rPr>
          <w:color w:val="auto"/>
          <w:sz w:val="22"/>
          <w:szCs w:val="22"/>
        </w:rPr>
        <w:t>, while some difference is p</w:t>
      </w:r>
      <w:r w:rsidR="00A372B3">
        <w:rPr>
          <w:color w:val="auto"/>
          <w:sz w:val="22"/>
          <w:szCs w:val="22"/>
        </w:rPr>
        <w:t>ossible</w:t>
      </w:r>
      <w:r w:rsidRPr="56A5B2ED">
        <w:rPr>
          <w:sz w:val="22"/>
          <w:szCs w:val="22"/>
        </w:rPr>
        <w:t xml:space="preserve">. </w:t>
      </w:r>
    </w:p>
    <w:p w14:paraId="6F49E504" w14:textId="77777777" w:rsidR="00EF1FE4" w:rsidRPr="0026194B" w:rsidRDefault="00EF1FE4" w:rsidP="008D40F4">
      <w:pPr>
        <w:pStyle w:val="Default"/>
        <w:ind w:right="-40"/>
        <w:jc w:val="both"/>
        <w:rPr>
          <w:sz w:val="22"/>
          <w:szCs w:val="22"/>
        </w:rPr>
      </w:pPr>
    </w:p>
    <w:p w14:paraId="58EC4FD2" w14:textId="64028B33" w:rsidR="003B4C1E" w:rsidRPr="0026194B" w:rsidRDefault="003B4C1E" w:rsidP="008D40F4">
      <w:pPr>
        <w:pStyle w:val="Default"/>
        <w:ind w:right="-40"/>
        <w:jc w:val="both"/>
        <w:rPr>
          <w:sz w:val="22"/>
          <w:szCs w:val="22"/>
        </w:rPr>
      </w:pPr>
      <w:r w:rsidRPr="0026194B">
        <w:rPr>
          <w:b/>
          <w:bCs/>
          <w:i/>
          <w:iCs/>
          <w:sz w:val="22"/>
          <w:szCs w:val="22"/>
        </w:rPr>
        <w:t xml:space="preserve">Total </w:t>
      </w:r>
      <w:r w:rsidR="00BE11C9" w:rsidRPr="0026194B">
        <w:rPr>
          <w:b/>
          <w:bCs/>
          <w:i/>
          <w:iCs/>
          <w:sz w:val="22"/>
          <w:szCs w:val="22"/>
        </w:rPr>
        <w:t>a</w:t>
      </w:r>
      <w:r w:rsidRPr="0026194B">
        <w:rPr>
          <w:b/>
          <w:bCs/>
          <w:i/>
          <w:iCs/>
          <w:sz w:val="22"/>
          <w:szCs w:val="22"/>
        </w:rPr>
        <w:t xml:space="preserve">s </w:t>
      </w:r>
      <w:r w:rsidR="00684B80" w:rsidRPr="0026194B">
        <w:rPr>
          <w:b/>
          <w:bCs/>
          <w:i/>
          <w:iCs/>
          <w:sz w:val="22"/>
          <w:szCs w:val="22"/>
        </w:rPr>
        <w:t>P</w:t>
      </w:r>
      <w:r w:rsidRPr="0026194B">
        <w:rPr>
          <w:b/>
          <w:bCs/>
          <w:i/>
          <w:iCs/>
          <w:sz w:val="22"/>
          <w:szCs w:val="22"/>
        </w:rPr>
        <w:t>er Current Approved Multi-Year Financial Plan</w:t>
      </w:r>
      <w:r w:rsidR="00AE7EBF" w:rsidRPr="0026194B">
        <w:rPr>
          <w:bCs/>
          <w:i/>
          <w:iCs/>
          <w:sz w:val="22"/>
          <w:szCs w:val="22"/>
        </w:rPr>
        <w:t xml:space="preserve">: </w:t>
      </w:r>
      <w:r w:rsidR="00B85F72" w:rsidRPr="0026194B">
        <w:rPr>
          <w:bCs/>
          <w:sz w:val="22"/>
          <w:szCs w:val="22"/>
        </w:rPr>
        <w:t xml:space="preserve">This column </w:t>
      </w:r>
      <w:r w:rsidRPr="0026194B">
        <w:rPr>
          <w:sz w:val="22"/>
          <w:szCs w:val="22"/>
        </w:rPr>
        <w:t>show</w:t>
      </w:r>
      <w:r w:rsidR="00B85F72" w:rsidRPr="0026194B">
        <w:rPr>
          <w:sz w:val="22"/>
          <w:szCs w:val="22"/>
        </w:rPr>
        <w:t>s</w:t>
      </w:r>
      <w:r w:rsidRPr="0026194B">
        <w:rPr>
          <w:sz w:val="22"/>
          <w:szCs w:val="22"/>
        </w:rPr>
        <w:t xml:space="preserve"> the current approved funding allocations by project</w:t>
      </w:r>
      <w:r w:rsidR="00BE11C9" w:rsidRPr="0026194B">
        <w:rPr>
          <w:sz w:val="22"/>
          <w:szCs w:val="22"/>
        </w:rPr>
        <w:t xml:space="preserve"> and </w:t>
      </w:r>
      <w:r w:rsidRPr="0026194B">
        <w:rPr>
          <w:sz w:val="22"/>
          <w:szCs w:val="22"/>
        </w:rPr>
        <w:t>activity</w:t>
      </w:r>
      <w:r w:rsidR="00E756C7">
        <w:rPr>
          <w:sz w:val="22"/>
          <w:szCs w:val="22"/>
        </w:rPr>
        <w:t>, as per the latest approved Schedule A</w:t>
      </w:r>
      <w:r w:rsidRPr="0026194B">
        <w:rPr>
          <w:sz w:val="22"/>
          <w:szCs w:val="22"/>
        </w:rPr>
        <w:t xml:space="preserve">. Note that this will only include figures at the project and activity levels. </w:t>
      </w:r>
    </w:p>
    <w:p w14:paraId="7CBF1070" w14:textId="77777777" w:rsidR="003B4C1E" w:rsidRPr="0026194B" w:rsidRDefault="003B4C1E" w:rsidP="008D40F4">
      <w:pPr>
        <w:ind w:left="720"/>
        <w:jc w:val="both"/>
        <w:rPr>
          <w:sz w:val="22"/>
          <w:szCs w:val="22"/>
        </w:rPr>
      </w:pPr>
    </w:p>
    <w:p w14:paraId="5956F4C7" w14:textId="7161DDCC" w:rsidR="00BC01C0" w:rsidRPr="0026194B" w:rsidRDefault="003B4C1E" w:rsidP="008D40F4">
      <w:pPr>
        <w:pStyle w:val="Default"/>
        <w:ind w:right="-40"/>
        <w:jc w:val="both"/>
        <w:rPr>
          <w:b/>
          <w:bCs/>
          <w:sz w:val="22"/>
          <w:szCs w:val="22"/>
        </w:rPr>
      </w:pPr>
      <w:r w:rsidRPr="56A5B2ED">
        <w:rPr>
          <w:b/>
          <w:bCs/>
          <w:i/>
          <w:iCs/>
          <w:sz w:val="22"/>
          <w:szCs w:val="22"/>
        </w:rPr>
        <w:t xml:space="preserve">Variance </w:t>
      </w:r>
      <w:r w:rsidR="0003759E" w:rsidRPr="56A5B2ED">
        <w:rPr>
          <w:b/>
          <w:bCs/>
          <w:i/>
          <w:iCs/>
          <w:sz w:val="22"/>
          <w:szCs w:val="22"/>
        </w:rPr>
        <w:t xml:space="preserve">– </w:t>
      </w:r>
      <w:r w:rsidRPr="56A5B2ED">
        <w:rPr>
          <w:b/>
          <w:bCs/>
          <w:i/>
          <w:iCs/>
          <w:sz w:val="22"/>
          <w:szCs w:val="22"/>
        </w:rPr>
        <w:t>Projections vs. Approved Plan</w:t>
      </w:r>
      <w:r w:rsidR="005E0B87" w:rsidRPr="56A5B2ED">
        <w:rPr>
          <w:b/>
          <w:bCs/>
          <w:i/>
          <w:iCs/>
          <w:sz w:val="22"/>
          <w:szCs w:val="22"/>
        </w:rPr>
        <w:t>,</w:t>
      </w:r>
      <w:r w:rsidRPr="56A5B2ED">
        <w:rPr>
          <w:b/>
          <w:bCs/>
          <w:i/>
          <w:iCs/>
          <w:sz w:val="22"/>
          <w:szCs w:val="22"/>
        </w:rPr>
        <w:t xml:space="preserve"> Under/Over Budget Difference</w:t>
      </w:r>
      <w:r w:rsidR="001455E2" w:rsidRPr="56A5B2ED">
        <w:rPr>
          <w:i/>
          <w:iCs/>
          <w:sz w:val="22"/>
          <w:szCs w:val="22"/>
        </w:rPr>
        <w:t xml:space="preserve">: </w:t>
      </w:r>
      <w:r w:rsidR="001455E2" w:rsidRPr="0026194B">
        <w:rPr>
          <w:sz w:val="22"/>
          <w:szCs w:val="22"/>
        </w:rPr>
        <w:t>This</w:t>
      </w:r>
      <w:r w:rsidR="00C52EB7" w:rsidRPr="0026194B">
        <w:rPr>
          <w:sz w:val="22"/>
          <w:szCs w:val="22"/>
        </w:rPr>
        <w:t xml:space="preserve"> </w:t>
      </w:r>
      <w:r w:rsidRPr="0026194B">
        <w:rPr>
          <w:sz w:val="22"/>
          <w:szCs w:val="22"/>
        </w:rPr>
        <w:t>is a</w:t>
      </w:r>
      <w:r w:rsidR="00A56A4D">
        <w:rPr>
          <w:sz w:val="22"/>
          <w:szCs w:val="22"/>
        </w:rPr>
        <w:t>n</w:t>
      </w:r>
      <w:r w:rsidRPr="0026194B">
        <w:rPr>
          <w:sz w:val="22"/>
          <w:szCs w:val="22"/>
        </w:rPr>
        <w:t xml:space="preserve"> </w:t>
      </w:r>
      <w:r w:rsidR="28725E8D" w:rsidRPr="0026194B">
        <w:rPr>
          <w:sz w:val="22"/>
          <w:szCs w:val="22"/>
        </w:rPr>
        <w:t>auto</w:t>
      </w:r>
      <w:r w:rsidRPr="0026194B">
        <w:rPr>
          <w:sz w:val="22"/>
          <w:szCs w:val="22"/>
        </w:rPr>
        <w:t xml:space="preserve">-calculating column which shows the difference (over/under) </w:t>
      </w:r>
      <w:r w:rsidR="00050BD0" w:rsidRPr="0026194B">
        <w:rPr>
          <w:sz w:val="22"/>
          <w:szCs w:val="22"/>
        </w:rPr>
        <w:t>at the project and activity levels (</w:t>
      </w:r>
      <w:r w:rsidR="0084442C" w:rsidRPr="0026194B">
        <w:rPr>
          <w:sz w:val="22"/>
          <w:szCs w:val="22"/>
        </w:rPr>
        <w:t xml:space="preserve">not for sub-activity or below) </w:t>
      </w:r>
      <w:r w:rsidRPr="0026194B">
        <w:rPr>
          <w:sz w:val="22"/>
          <w:szCs w:val="22"/>
        </w:rPr>
        <w:t xml:space="preserve">between Total Commitments as Currently Forecasted and the Total as per Current Approved Multi-Year Financial Plan. </w:t>
      </w:r>
      <w:r w:rsidR="00BC01C0" w:rsidRPr="0026194B">
        <w:rPr>
          <w:sz w:val="22"/>
          <w:szCs w:val="22"/>
        </w:rPr>
        <w:t>Variances between forecasted commitments and the budget as reflected in the current MYFP could result from contracts being signed “over”</w:t>
      </w:r>
      <w:r w:rsidR="00BC01C0" w:rsidRPr="0026194B">
        <w:rPr>
          <w:rStyle w:val="FootnoteReference"/>
          <w:sz w:val="22"/>
          <w:szCs w:val="22"/>
        </w:rPr>
        <w:footnoteReference w:id="7"/>
      </w:r>
      <w:r w:rsidR="00BC01C0" w:rsidRPr="0026194B">
        <w:rPr>
          <w:sz w:val="22"/>
          <w:szCs w:val="22"/>
        </w:rPr>
        <w:t xml:space="preserve"> and “under” budget and/or from revisions of the cost estimates for future procurements. Such divergence can be expected at times, although it does flag a difference that must be explained. Assessing variances in each project/activity will help the AE determine if and</w:t>
      </w:r>
      <w:r w:rsidR="00D810BA">
        <w:rPr>
          <w:sz w:val="22"/>
          <w:szCs w:val="22"/>
        </w:rPr>
        <w:t>/or</w:t>
      </w:r>
      <w:r w:rsidR="00BC01C0" w:rsidRPr="0026194B">
        <w:rPr>
          <w:sz w:val="22"/>
          <w:szCs w:val="22"/>
        </w:rPr>
        <w:t xml:space="preserve"> when a reallocation or adjustment of funding (via Schedule A) may become necessary. Unless a reallocation is planned, the figures in this column should be close to zero, noting that:</w:t>
      </w:r>
    </w:p>
    <w:p w14:paraId="3A234BBC" w14:textId="77F953A7" w:rsidR="003B4C1E" w:rsidRPr="0026194B" w:rsidRDefault="003B4C1E" w:rsidP="008D40F4">
      <w:pPr>
        <w:jc w:val="both"/>
        <w:rPr>
          <w:sz w:val="22"/>
          <w:szCs w:val="22"/>
        </w:rPr>
      </w:pPr>
    </w:p>
    <w:p w14:paraId="3703B7A2" w14:textId="08AFF0F0" w:rsidR="003B4C1E" w:rsidRPr="0026194B" w:rsidRDefault="004754F3" w:rsidP="008D40F4">
      <w:pPr>
        <w:numPr>
          <w:ilvl w:val="0"/>
          <w:numId w:val="13"/>
        </w:numPr>
        <w:tabs>
          <w:tab w:val="clear" w:pos="1080"/>
          <w:tab w:val="num" w:pos="720"/>
        </w:tabs>
        <w:ind w:left="720"/>
        <w:jc w:val="both"/>
        <w:rPr>
          <w:sz w:val="22"/>
          <w:szCs w:val="22"/>
        </w:rPr>
      </w:pPr>
      <w:r w:rsidRPr="0026194B">
        <w:rPr>
          <w:sz w:val="22"/>
          <w:szCs w:val="22"/>
        </w:rPr>
        <w:t>N</w:t>
      </w:r>
      <w:r w:rsidR="003B4C1E" w:rsidRPr="0026194B">
        <w:rPr>
          <w:sz w:val="22"/>
          <w:szCs w:val="22"/>
        </w:rPr>
        <w:t xml:space="preserve">egative figures convey a risk of “over commitment” (if current forecasts were to become a reality, there </w:t>
      </w:r>
      <w:r w:rsidR="00E61412">
        <w:rPr>
          <w:sz w:val="22"/>
          <w:szCs w:val="22"/>
        </w:rPr>
        <w:t>would</w:t>
      </w:r>
      <w:r w:rsidR="003B4C1E" w:rsidRPr="0026194B">
        <w:rPr>
          <w:sz w:val="22"/>
          <w:szCs w:val="22"/>
        </w:rPr>
        <w:t xml:space="preserve"> not be enough funds to implement the </w:t>
      </w:r>
      <w:r w:rsidR="00F509F7">
        <w:rPr>
          <w:sz w:val="22"/>
          <w:szCs w:val="22"/>
        </w:rPr>
        <w:t>project/activity</w:t>
      </w:r>
      <w:r w:rsidR="003B4C1E" w:rsidRPr="0026194B">
        <w:rPr>
          <w:sz w:val="22"/>
          <w:szCs w:val="22"/>
        </w:rPr>
        <w:t>)</w:t>
      </w:r>
      <w:r w:rsidR="0088531B" w:rsidRPr="0026194B">
        <w:rPr>
          <w:sz w:val="22"/>
          <w:szCs w:val="22"/>
        </w:rPr>
        <w:t xml:space="preserve">; and </w:t>
      </w:r>
    </w:p>
    <w:p w14:paraId="24A88750" w14:textId="454725ED" w:rsidR="003B4C1E" w:rsidRPr="0026194B" w:rsidRDefault="004754F3" w:rsidP="008D40F4">
      <w:pPr>
        <w:numPr>
          <w:ilvl w:val="0"/>
          <w:numId w:val="13"/>
        </w:numPr>
        <w:tabs>
          <w:tab w:val="clear" w:pos="1080"/>
          <w:tab w:val="num" w:pos="720"/>
        </w:tabs>
        <w:ind w:left="720"/>
        <w:jc w:val="both"/>
        <w:rPr>
          <w:sz w:val="22"/>
          <w:szCs w:val="22"/>
        </w:rPr>
      </w:pPr>
      <w:r w:rsidRPr="56A5B2ED">
        <w:rPr>
          <w:sz w:val="22"/>
          <w:szCs w:val="22"/>
        </w:rPr>
        <w:t>P</w:t>
      </w:r>
      <w:r w:rsidR="003B4C1E" w:rsidRPr="56A5B2ED">
        <w:rPr>
          <w:sz w:val="22"/>
          <w:szCs w:val="22"/>
        </w:rPr>
        <w:t xml:space="preserve">ositive figures </w:t>
      </w:r>
      <w:r w:rsidR="00CC1121">
        <w:rPr>
          <w:sz w:val="22"/>
          <w:szCs w:val="22"/>
        </w:rPr>
        <w:t xml:space="preserve">may </w:t>
      </w:r>
      <w:r w:rsidR="003B4C1E" w:rsidRPr="56A5B2ED">
        <w:rPr>
          <w:sz w:val="22"/>
          <w:szCs w:val="22"/>
        </w:rPr>
        <w:t xml:space="preserve">indicate </w:t>
      </w:r>
      <w:r w:rsidR="00A1589D" w:rsidRPr="56A5B2ED">
        <w:rPr>
          <w:sz w:val="22"/>
          <w:szCs w:val="22"/>
        </w:rPr>
        <w:t xml:space="preserve">an </w:t>
      </w:r>
      <w:r w:rsidR="003B4C1E" w:rsidRPr="56A5B2ED">
        <w:rPr>
          <w:sz w:val="22"/>
          <w:szCs w:val="22"/>
        </w:rPr>
        <w:t xml:space="preserve">expectation of savings at the end of the MCC grant, </w:t>
      </w:r>
      <w:r w:rsidR="00CC3FF6">
        <w:rPr>
          <w:sz w:val="22"/>
          <w:szCs w:val="22"/>
        </w:rPr>
        <w:t>noting that</w:t>
      </w:r>
      <w:r w:rsidR="003B4C1E" w:rsidRPr="56A5B2ED">
        <w:rPr>
          <w:sz w:val="22"/>
          <w:szCs w:val="22"/>
        </w:rPr>
        <w:t xml:space="preserve"> current projections are less than the current budgeted amount.</w:t>
      </w:r>
    </w:p>
    <w:p w14:paraId="705BCA26" w14:textId="77777777" w:rsidR="003B4C1E" w:rsidRPr="0026194B" w:rsidRDefault="003B4C1E" w:rsidP="008D40F4">
      <w:pPr>
        <w:jc w:val="both"/>
        <w:rPr>
          <w:sz w:val="22"/>
          <w:szCs w:val="22"/>
        </w:rPr>
      </w:pPr>
    </w:p>
    <w:p w14:paraId="4A4E9672" w14:textId="02AF9EE9" w:rsidR="00BC01C0" w:rsidRDefault="00C81E1D" w:rsidP="008D40F4">
      <w:pPr>
        <w:jc w:val="both"/>
        <w:rPr>
          <w:sz w:val="22"/>
          <w:szCs w:val="22"/>
        </w:rPr>
      </w:pPr>
      <w:r w:rsidRPr="56A5B2ED">
        <w:rPr>
          <w:sz w:val="22"/>
          <w:szCs w:val="22"/>
        </w:rPr>
        <w:t>The grand total of everything in this column should</w:t>
      </w:r>
      <w:r w:rsidR="00803CBF" w:rsidRPr="56A5B2ED">
        <w:rPr>
          <w:sz w:val="22"/>
          <w:szCs w:val="22"/>
        </w:rPr>
        <w:t xml:space="preserve"> be close to zero, and should in no case </w:t>
      </w:r>
      <w:r w:rsidRPr="56A5B2ED">
        <w:rPr>
          <w:sz w:val="22"/>
          <w:szCs w:val="22"/>
        </w:rPr>
        <w:t>be negative</w:t>
      </w:r>
      <w:r w:rsidR="1846B6E3" w:rsidRPr="56A5B2ED">
        <w:rPr>
          <w:sz w:val="22"/>
          <w:szCs w:val="22"/>
        </w:rPr>
        <w:t>,</w:t>
      </w:r>
      <w:r w:rsidRPr="56A5B2ED">
        <w:rPr>
          <w:sz w:val="22"/>
          <w:szCs w:val="22"/>
        </w:rPr>
        <w:t xml:space="preserve"> which would indicate that </w:t>
      </w:r>
      <w:r w:rsidR="00803CBF" w:rsidRPr="56A5B2ED">
        <w:rPr>
          <w:sz w:val="22"/>
          <w:szCs w:val="22"/>
        </w:rPr>
        <w:t xml:space="preserve">the AE is planning </w:t>
      </w:r>
      <w:r w:rsidR="004208AE" w:rsidRPr="56A5B2ED">
        <w:rPr>
          <w:sz w:val="22"/>
          <w:szCs w:val="22"/>
        </w:rPr>
        <w:t xml:space="preserve">to commit </w:t>
      </w:r>
      <w:r w:rsidR="00803CBF" w:rsidRPr="56A5B2ED">
        <w:rPr>
          <w:sz w:val="22"/>
          <w:szCs w:val="22"/>
        </w:rPr>
        <w:t xml:space="preserve">a greater amount than what is available in the grant. </w:t>
      </w:r>
    </w:p>
    <w:p w14:paraId="2E82F589" w14:textId="77777777" w:rsidR="00BC01C0" w:rsidRDefault="00BC01C0" w:rsidP="008D40F4">
      <w:pPr>
        <w:jc w:val="both"/>
        <w:rPr>
          <w:sz w:val="22"/>
          <w:szCs w:val="22"/>
        </w:rPr>
      </w:pPr>
    </w:p>
    <w:p w14:paraId="5E4DE298" w14:textId="7D3E1B24" w:rsidR="00C81E1D" w:rsidRPr="0026194B" w:rsidRDefault="00BC01C0" w:rsidP="008D40F4">
      <w:pPr>
        <w:jc w:val="both"/>
        <w:rPr>
          <w:sz w:val="22"/>
          <w:szCs w:val="22"/>
        </w:rPr>
      </w:pPr>
      <w:r w:rsidRPr="0026194B">
        <w:rPr>
          <w:sz w:val="22"/>
          <w:szCs w:val="22"/>
        </w:rPr>
        <w:t>The AE should identify and explain any significant variances in the Explanatory Notes</w:t>
      </w:r>
      <w:r w:rsidRPr="0026194B">
        <w:rPr>
          <w:b/>
          <w:bCs/>
          <w:sz w:val="22"/>
          <w:szCs w:val="22"/>
        </w:rPr>
        <w:t>.</w:t>
      </w:r>
    </w:p>
    <w:p w14:paraId="10843CD0" w14:textId="77777777" w:rsidR="0029604E" w:rsidRPr="0026194B" w:rsidRDefault="0029604E" w:rsidP="008D40F4">
      <w:pPr>
        <w:jc w:val="both"/>
        <w:rPr>
          <w:b/>
          <w:bCs/>
          <w:iCs/>
          <w:sz w:val="22"/>
          <w:szCs w:val="22"/>
        </w:rPr>
      </w:pPr>
      <w:bookmarkStart w:id="13" w:name="_Hlk38471507"/>
    </w:p>
    <w:p w14:paraId="5DA416B3" w14:textId="58E22732" w:rsidR="005A4D7C" w:rsidRPr="005E3CF8" w:rsidRDefault="0065290A" w:rsidP="008D40F4">
      <w:pPr>
        <w:pStyle w:val="Heading4"/>
        <w:jc w:val="both"/>
        <w:rPr>
          <w:rFonts w:ascii="Times New Roman" w:hAnsi="Times New Roman" w:cs="Times New Roman"/>
        </w:rPr>
      </w:pPr>
      <w:r w:rsidRPr="005E3CF8">
        <w:rPr>
          <w:rFonts w:ascii="Times New Roman" w:hAnsi="Times New Roman" w:cs="Times New Roman"/>
        </w:rPr>
        <w:t>Recording commitments</w:t>
      </w:r>
    </w:p>
    <w:p w14:paraId="721EBB16" w14:textId="77777777" w:rsidR="006B70F9" w:rsidRDefault="006B70F9" w:rsidP="008D40F4">
      <w:pPr>
        <w:jc w:val="both"/>
        <w:rPr>
          <w:b/>
          <w:bCs/>
          <w:sz w:val="22"/>
          <w:szCs w:val="22"/>
        </w:rPr>
      </w:pPr>
    </w:p>
    <w:p w14:paraId="0AF20026" w14:textId="5F87A701" w:rsidR="005A4D7C" w:rsidRPr="005E3CF8" w:rsidRDefault="005A4D7C" w:rsidP="008D40F4">
      <w:pPr>
        <w:jc w:val="both"/>
        <w:rPr>
          <w:b/>
          <w:bCs/>
          <w:sz w:val="22"/>
          <w:szCs w:val="22"/>
        </w:rPr>
      </w:pPr>
      <w:r w:rsidRPr="005E3CF8">
        <w:rPr>
          <w:b/>
          <w:bCs/>
          <w:sz w:val="22"/>
          <w:szCs w:val="22"/>
        </w:rPr>
        <w:t xml:space="preserve">Contracts </w:t>
      </w:r>
    </w:p>
    <w:p w14:paraId="5ECD63A6" w14:textId="77777777" w:rsidR="00CD7438" w:rsidRPr="005E3CF8" w:rsidRDefault="00CD7438" w:rsidP="008D40F4">
      <w:pPr>
        <w:jc w:val="both"/>
        <w:rPr>
          <w:sz w:val="22"/>
          <w:szCs w:val="22"/>
        </w:rPr>
      </w:pPr>
      <w:r w:rsidRPr="005E3CF8">
        <w:rPr>
          <w:sz w:val="22"/>
          <w:szCs w:val="22"/>
        </w:rPr>
        <w:t xml:space="preserve">If a contract has a base period plus options, the base period will be shown as an actual commitment and each of the options will be shown as planned commitments in the month/quarter that the options are expected to be exercised. </w:t>
      </w:r>
    </w:p>
    <w:p w14:paraId="0874CE98" w14:textId="77777777" w:rsidR="00CD7438" w:rsidRPr="005E3CF8" w:rsidRDefault="00CD7438" w:rsidP="008D40F4">
      <w:pPr>
        <w:ind w:left="720"/>
        <w:jc w:val="both"/>
        <w:rPr>
          <w:rFonts w:ascii="Calibri" w:hAnsi="Calibri" w:cs="Calibri"/>
          <w:sz w:val="22"/>
          <w:szCs w:val="22"/>
        </w:rPr>
      </w:pPr>
      <w:r w:rsidRPr="005E3CF8">
        <w:rPr>
          <w:sz w:val="22"/>
          <w:szCs w:val="22"/>
        </w:rPr>
        <w:t> </w:t>
      </w:r>
    </w:p>
    <w:p w14:paraId="0426574B" w14:textId="2C7EA195" w:rsidR="00CD7438" w:rsidRPr="00CD7438" w:rsidRDefault="00CA345D" w:rsidP="008D40F4">
      <w:pPr>
        <w:spacing w:after="240"/>
        <w:jc w:val="both"/>
        <w:rPr>
          <w:color w:val="2F5496"/>
          <w:sz w:val="22"/>
          <w:szCs w:val="22"/>
        </w:rPr>
      </w:pPr>
      <w:r>
        <w:rPr>
          <w:sz w:val="22"/>
          <w:szCs w:val="22"/>
        </w:rPr>
        <w:t>Indefinite delivery/indefinite quantity (</w:t>
      </w:r>
      <w:r w:rsidR="00CD7438" w:rsidRPr="005E3CF8">
        <w:rPr>
          <w:sz w:val="22"/>
          <w:szCs w:val="22"/>
        </w:rPr>
        <w:t>IDIQ</w:t>
      </w:r>
      <w:r>
        <w:rPr>
          <w:sz w:val="22"/>
          <w:szCs w:val="22"/>
        </w:rPr>
        <w:t>)</w:t>
      </w:r>
      <w:r w:rsidR="00CD7438" w:rsidRPr="005E3CF8">
        <w:rPr>
          <w:sz w:val="22"/>
          <w:szCs w:val="22"/>
        </w:rPr>
        <w:t xml:space="preserve"> and</w:t>
      </w:r>
      <w:r>
        <w:rPr>
          <w:sz w:val="22"/>
          <w:szCs w:val="22"/>
        </w:rPr>
        <w:t xml:space="preserve"> blanket purchase agreement (</w:t>
      </w:r>
      <w:r w:rsidR="00CD7438" w:rsidRPr="005E3CF8">
        <w:rPr>
          <w:sz w:val="22"/>
          <w:szCs w:val="22"/>
        </w:rPr>
        <w:t>BPA</w:t>
      </w:r>
      <w:r>
        <w:rPr>
          <w:sz w:val="22"/>
          <w:szCs w:val="22"/>
        </w:rPr>
        <w:t>)</w:t>
      </w:r>
      <w:r w:rsidR="00CD7438" w:rsidRPr="005E3CF8">
        <w:rPr>
          <w:sz w:val="22"/>
          <w:szCs w:val="22"/>
        </w:rPr>
        <w:t xml:space="preserve"> contracts will be shown as a combination of actual and planned commitments. During the procurement phase, the full value of a planned IDIQ or BPA will be recorded as a future projection. Once the IDIQ or BPA is in place, the full value of the contract(s) will be shown as a combination of actual and projected commitments: actual commitments would be recorded as task orders are awarded, and projected commitments would reflect future planned task orders that have not yet been signed.</w:t>
      </w:r>
      <w:r w:rsidR="00CD7438" w:rsidRPr="00CD7438">
        <w:rPr>
          <w:sz w:val="22"/>
          <w:szCs w:val="22"/>
        </w:rPr>
        <w:t xml:space="preserve"> </w:t>
      </w:r>
    </w:p>
    <w:p w14:paraId="47B0205E" w14:textId="03AB36B7" w:rsidR="005A4D7C" w:rsidRPr="0026194B" w:rsidRDefault="005A4D7C" w:rsidP="008D40F4">
      <w:pPr>
        <w:jc w:val="both"/>
        <w:rPr>
          <w:b/>
          <w:bCs/>
          <w:iCs/>
          <w:sz w:val="22"/>
          <w:szCs w:val="22"/>
        </w:rPr>
      </w:pPr>
      <w:r w:rsidRPr="0026194B">
        <w:rPr>
          <w:b/>
          <w:bCs/>
          <w:iCs/>
          <w:sz w:val="22"/>
          <w:szCs w:val="22"/>
        </w:rPr>
        <w:t xml:space="preserve">Recurring expenses </w:t>
      </w:r>
    </w:p>
    <w:p w14:paraId="063E0D4A" w14:textId="138EE744" w:rsidR="005A4D7C" w:rsidRPr="0026194B" w:rsidRDefault="005A4D7C" w:rsidP="008D40F4">
      <w:pPr>
        <w:jc w:val="both"/>
        <w:rPr>
          <w:sz w:val="22"/>
          <w:szCs w:val="22"/>
        </w:rPr>
      </w:pPr>
      <w:r w:rsidRPr="0026194B">
        <w:rPr>
          <w:sz w:val="22"/>
          <w:szCs w:val="22"/>
        </w:rPr>
        <w:t xml:space="preserve">Any recurring expense such as salaries, utilities, travel costs, etc. (outside of an executed vendor contract) should be recorded during the same period in which the disbursement </w:t>
      </w:r>
      <w:proofErr w:type="gramStart"/>
      <w:r w:rsidRPr="0026194B">
        <w:rPr>
          <w:sz w:val="22"/>
          <w:szCs w:val="22"/>
        </w:rPr>
        <w:t>actually occurs</w:t>
      </w:r>
      <w:proofErr w:type="gramEnd"/>
      <w:r w:rsidRPr="0026194B">
        <w:rPr>
          <w:sz w:val="22"/>
          <w:szCs w:val="22"/>
        </w:rPr>
        <w:t xml:space="preserve"> or is planned, and </w:t>
      </w:r>
      <w:r w:rsidRPr="0026194B">
        <w:rPr>
          <w:sz w:val="22"/>
          <w:szCs w:val="22"/>
        </w:rPr>
        <w:lastRenderedPageBreak/>
        <w:t xml:space="preserve">therefore should be forecasted on the DFP as a series of recurring commitment projections for each applicable quarter. </w:t>
      </w:r>
    </w:p>
    <w:p w14:paraId="7D55E3D3" w14:textId="77777777" w:rsidR="005A4D7C" w:rsidRPr="0026194B" w:rsidRDefault="005A4D7C" w:rsidP="008D40F4">
      <w:pPr>
        <w:jc w:val="both"/>
        <w:rPr>
          <w:b/>
          <w:bCs/>
          <w:iCs/>
          <w:sz w:val="22"/>
          <w:szCs w:val="22"/>
        </w:rPr>
      </w:pPr>
    </w:p>
    <w:p w14:paraId="64B76734" w14:textId="33610497" w:rsidR="003B4C1E" w:rsidRPr="0026194B" w:rsidRDefault="003B4C1E" w:rsidP="008D40F4">
      <w:pPr>
        <w:jc w:val="both"/>
        <w:rPr>
          <w:b/>
          <w:bCs/>
          <w:sz w:val="22"/>
          <w:szCs w:val="22"/>
        </w:rPr>
      </w:pPr>
      <w:r w:rsidRPr="56A5B2ED">
        <w:rPr>
          <w:b/>
          <w:bCs/>
          <w:sz w:val="22"/>
          <w:szCs w:val="22"/>
        </w:rPr>
        <w:t>Implementing Entity Agreements (IEAs)</w:t>
      </w:r>
      <w:r w:rsidR="003E317B" w:rsidRPr="56A5B2ED" w:rsidDel="003E317B">
        <w:rPr>
          <w:rStyle w:val="FootnoteReference"/>
          <w:b/>
          <w:bCs/>
          <w:sz w:val="22"/>
          <w:szCs w:val="22"/>
        </w:rPr>
        <w:t xml:space="preserve"> </w:t>
      </w:r>
    </w:p>
    <w:p w14:paraId="6AFF32B8" w14:textId="25C6126B" w:rsidR="003B4C1E" w:rsidRPr="0026194B" w:rsidRDefault="003B4C1E" w:rsidP="008D40F4">
      <w:pPr>
        <w:jc w:val="both"/>
        <w:rPr>
          <w:dstrike/>
          <w:sz w:val="22"/>
          <w:szCs w:val="22"/>
        </w:rPr>
      </w:pPr>
      <w:r w:rsidRPr="0026194B">
        <w:rPr>
          <w:sz w:val="22"/>
          <w:szCs w:val="22"/>
        </w:rPr>
        <w:t xml:space="preserve">An implementing entity (IE) is a Government Affiliate that is not the AE but that is responsible for managing the implementation of an element of a program financed by an MCC grant, and for </w:t>
      </w:r>
      <w:r w:rsidR="00FB7ABA" w:rsidRPr="0026194B">
        <w:rPr>
          <w:sz w:val="22"/>
          <w:szCs w:val="22"/>
        </w:rPr>
        <w:t>initiating corres</w:t>
      </w:r>
      <w:r w:rsidR="006D0B2D" w:rsidRPr="0026194B">
        <w:rPr>
          <w:sz w:val="22"/>
          <w:szCs w:val="22"/>
        </w:rPr>
        <w:t>ponding</w:t>
      </w:r>
      <w:r w:rsidRPr="0026194B">
        <w:rPr>
          <w:sz w:val="22"/>
          <w:szCs w:val="22"/>
        </w:rPr>
        <w:t xml:space="preserve"> disbursements of funding that </w:t>
      </w:r>
      <w:r w:rsidR="003059AF">
        <w:rPr>
          <w:sz w:val="22"/>
          <w:szCs w:val="22"/>
        </w:rPr>
        <w:t>are</w:t>
      </w:r>
      <w:r w:rsidRPr="0026194B">
        <w:rPr>
          <w:sz w:val="22"/>
          <w:szCs w:val="22"/>
        </w:rPr>
        <w:t xml:space="preserve"> provided by an AE or that will be reimbursed by an AE.</w:t>
      </w:r>
      <w:r w:rsidR="00AB28DA" w:rsidRPr="0026194B">
        <w:rPr>
          <w:sz w:val="22"/>
          <w:szCs w:val="22"/>
        </w:rPr>
        <w:t xml:space="preserve"> </w:t>
      </w:r>
    </w:p>
    <w:p w14:paraId="5B49AE35" w14:textId="269B2776" w:rsidR="003B4C1E" w:rsidRPr="0026194B" w:rsidRDefault="00C773D2" w:rsidP="008D40F4">
      <w:pPr>
        <w:tabs>
          <w:tab w:val="left" w:pos="8307"/>
        </w:tabs>
        <w:jc w:val="both"/>
        <w:rPr>
          <w:i/>
          <w:sz w:val="22"/>
          <w:szCs w:val="22"/>
        </w:rPr>
      </w:pPr>
      <w:r>
        <w:rPr>
          <w:i/>
          <w:sz w:val="22"/>
          <w:szCs w:val="22"/>
        </w:rPr>
        <w:tab/>
      </w:r>
    </w:p>
    <w:p w14:paraId="34AD20B7" w14:textId="1DCE539B" w:rsidR="003B4C1E" w:rsidRPr="0026194B" w:rsidRDefault="003B4C1E" w:rsidP="008D40F4">
      <w:pPr>
        <w:jc w:val="both"/>
        <w:rPr>
          <w:sz w:val="22"/>
          <w:szCs w:val="22"/>
        </w:rPr>
      </w:pPr>
      <w:r w:rsidRPr="0026194B">
        <w:rPr>
          <w:sz w:val="22"/>
          <w:szCs w:val="22"/>
        </w:rPr>
        <w:t>Commitment and payment structures differ according to the type of IEA. There are three basic ways of structuring commitments and expenditures in the context of IEAs. This guidance deals with the treatment of commitments for each of these three structures</w:t>
      </w:r>
      <w:r w:rsidR="00340890" w:rsidRPr="0026194B">
        <w:rPr>
          <w:sz w:val="22"/>
          <w:szCs w:val="22"/>
        </w:rPr>
        <w:t>,</w:t>
      </w:r>
      <w:r w:rsidRPr="0026194B">
        <w:rPr>
          <w:sz w:val="22"/>
          <w:szCs w:val="22"/>
        </w:rPr>
        <w:t xml:space="preserve"> as follows:</w:t>
      </w:r>
    </w:p>
    <w:bookmarkEnd w:id="13"/>
    <w:p w14:paraId="70CCD0D0" w14:textId="77777777" w:rsidR="003B4C1E" w:rsidRPr="0026194B" w:rsidRDefault="003B4C1E" w:rsidP="008D40F4">
      <w:pPr>
        <w:jc w:val="both"/>
        <w:rPr>
          <w:sz w:val="22"/>
          <w:szCs w:val="22"/>
        </w:rPr>
      </w:pPr>
    </w:p>
    <w:p w14:paraId="7C73AE93" w14:textId="11BEE502" w:rsidR="003B4C1E" w:rsidRPr="0026194B" w:rsidRDefault="003B4C1E" w:rsidP="008D40F4">
      <w:pPr>
        <w:numPr>
          <w:ilvl w:val="1"/>
          <w:numId w:val="10"/>
        </w:numPr>
        <w:ind w:left="990" w:hanging="270"/>
        <w:jc w:val="both"/>
        <w:rPr>
          <w:sz w:val="22"/>
          <w:szCs w:val="22"/>
        </w:rPr>
      </w:pPr>
      <w:bookmarkStart w:id="14" w:name="_Hlk38471716"/>
      <w:r w:rsidRPr="0026194B">
        <w:rPr>
          <w:bCs/>
          <w:i/>
          <w:iCs/>
          <w:sz w:val="22"/>
          <w:szCs w:val="22"/>
        </w:rPr>
        <w:t>In-kind contributions to IEs:</w:t>
      </w:r>
      <w:r w:rsidRPr="0026194B">
        <w:rPr>
          <w:sz w:val="22"/>
          <w:szCs w:val="22"/>
        </w:rPr>
        <w:t xml:space="preserve"> MCC funding associated with an IEA is often not provided directly to the IE, but rather requires the AE to procure and pay for in-kind contributions (i.e. goods, works, and services that support the IE’s function). These types of expenses should be forecasted or reported in the quarter </w:t>
      </w:r>
      <w:r w:rsidR="003E1035">
        <w:rPr>
          <w:sz w:val="22"/>
          <w:szCs w:val="22"/>
        </w:rPr>
        <w:t>the</w:t>
      </w:r>
      <w:r w:rsidRPr="0026194B">
        <w:rPr>
          <w:sz w:val="22"/>
          <w:szCs w:val="22"/>
        </w:rPr>
        <w:t xml:space="preserve"> contract between the AE and the vendor of these goods, works, or services</w:t>
      </w:r>
      <w:r w:rsidR="003E1035">
        <w:rPr>
          <w:sz w:val="22"/>
          <w:szCs w:val="22"/>
        </w:rPr>
        <w:t xml:space="preserve"> is signed</w:t>
      </w:r>
      <w:r w:rsidRPr="0026194B">
        <w:rPr>
          <w:sz w:val="22"/>
          <w:szCs w:val="22"/>
        </w:rPr>
        <w:t>, regardless of when the IEA is signed.</w:t>
      </w:r>
    </w:p>
    <w:p w14:paraId="7CFD36B5" w14:textId="6D2722D4" w:rsidR="003B4C1E" w:rsidRPr="0026194B" w:rsidRDefault="003B4C1E" w:rsidP="008D40F4">
      <w:pPr>
        <w:numPr>
          <w:ilvl w:val="1"/>
          <w:numId w:val="10"/>
        </w:numPr>
        <w:ind w:left="990" w:hanging="270"/>
        <w:jc w:val="both"/>
        <w:rPr>
          <w:sz w:val="22"/>
          <w:szCs w:val="22"/>
        </w:rPr>
      </w:pPr>
      <w:r w:rsidRPr="56A5B2ED">
        <w:rPr>
          <w:i/>
          <w:iCs/>
          <w:sz w:val="22"/>
          <w:szCs w:val="22"/>
        </w:rPr>
        <w:t>Recurring costs:</w:t>
      </w:r>
      <w:r w:rsidRPr="56A5B2ED">
        <w:rPr>
          <w:sz w:val="22"/>
          <w:szCs w:val="22"/>
        </w:rPr>
        <w:t xml:space="preserve"> IEAs are often structured to provide IEs with cash disbursements (on a direct payment or reimbursement basis) to be administered by the IE to cover direct costs for salaries, travel costs, </w:t>
      </w:r>
      <w:proofErr w:type="gramStart"/>
      <w:r w:rsidRPr="56A5B2ED">
        <w:rPr>
          <w:sz w:val="22"/>
          <w:szCs w:val="22"/>
        </w:rPr>
        <w:t>utilities</w:t>
      </w:r>
      <w:proofErr w:type="gramEnd"/>
      <w:r w:rsidRPr="56A5B2ED">
        <w:rPr>
          <w:sz w:val="22"/>
          <w:szCs w:val="22"/>
        </w:rPr>
        <w:t xml:space="preserve"> or other expenses under the IEA. These expenses are often administrative in nature but can also be non-administrative expenditures, and in either case paid on successful completion of deliverables required in the IEA but reimbursed based on actual costs. </w:t>
      </w:r>
      <w:r w:rsidR="00574A3A" w:rsidRPr="56A5B2ED">
        <w:rPr>
          <w:sz w:val="22"/>
          <w:szCs w:val="22"/>
        </w:rPr>
        <w:t>Commitments for r</w:t>
      </w:r>
      <w:r w:rsidRPr="56A5B2ED">
        <w:rPr>
          <w:sz w:val="22"/>
          <w:szCs w:val="22"/>
        </w:rPr>
        <w:t>ecurring costs should be recorded during the period in which the disbursement</w:t>
      </w:r>
      <w:r w:rsidR="002661F4" w:rsidRPr="56A5B2ED">
        <w:rPr>
          <w:sz w:val="22"/>
          <w:szCs w:val="22"/>
        </w:rPr>
        <w:t xml:space="preserve"> </w:t>
      </w:r>
      <w:proofErr w:type="gramStart"/>
      <w:r w:rsidR="002661F4" w:rsidRPr="56A5B2ED">
        <w:rPr>
          <w:sz w:val="22"/>
          <w:szCs w:val="22"/>
        </w:rPr>
        <w:t>actually</w:t>
      </w:r>
      <w:r w:rsidR="00574A3A" w:rsidRPr="56A5B2ED">
        <w:rPr>
          <w:sz w:val="22"/>
          <w:szCs w:val="22"/>
        </w:rPr>
        <w:t xml:space="preserve"> </w:t>
      </w:r>
      <w:r w:rsidRPr="56A5B2ED">
        <w:rPr>
          <w:sz w:val="22"/>
          <w:szCs w:val="22"/>
        </w:rPr>
        <w:t>occurs</w:t>
      </w:r>
      <w:proofErr w:type="gramEnd"/>
      <w:r w:rsidR="002661F4" w:rsidRPr="56A5B2ED">
        <w:rPr>
          <w:sz w:val="22"/>
          <w:szCs w:val="22"/>
        </w:rPr>
        <w:t xml:space="preserve"> or is planned</w:t>
      </w:r>
      <w:r w:rsidRPr="56A5B2ED">
        <w:rPr>
          <w:sz w:val="22"/>
          <w:szCs w:val="22"/>
        </w:rPr>
        <w:t>, and therefore should be forecasted on the DFP</w:t>
      </w:r>
      <w:r w:rsidR="411A60E0" w:rsidRPr="56A5B2ED">
        <w:rPr>
          <w:sz w:val="22"/>
          <w:szCs w:val="22"/>
        </w:rPr>
        <w:t>-</w:t>
      </w:r>
      <w:r w:rsidR="3374385B" w:rsidRPr="56A5B2ED">
        <w:rPr>
          <w:sz w:val="22"/>
          <w:szCs w:val="22"/>
        </w:rPr>
        <w:t>c</w:t>
      </w:r>
      <w:r w:rsidRPr="56A5B2ED">
        <w:rPr>
          <w:sz w:val="22"/>
          <w:szCs w:val="22"/>
        </w:rPr>
        <w:t>ommitments in the same way, as a series of recurring commitment projections for each applicable quarter.</w:t>
      </w:r>
    </w:p>
    <w:p w14:paraId="1928C0F5" w14:textId="1028C25B" w:rsidR="003B4C1E" w:rsidRPr="0026194B" w:rsidRDefault="003B4C1E" w:rsidP="008D40F4">
      <w:pPr>
        <w:numPr>
          <w:ilvl w:val="1"/>
          <w:numId w:val="10"/>
        </w:numPr>
        <w:ind w:left="990" w:hanging="270"/>
        <w:jc w:val="both"/>
        <w:rPr>
          <w:sz w:val="22"/>
          <w:szCs w:val="22"/>
        </w:rPr>
      </w:pPr>
      <w:r w:rsidRPr="0026194B">
        <w:rPr>
          <w:bCs/>
          <w:i/>
          <w:iCs/>
          <w:sz w:val="22"/>
          <w:szCs w:val="22"/>
        </w:rPr>
        <w:t>Fixed price milestone payments</w:t>
      </w:r>
      <w:r w:rsidRPr="0026194B">
        <w:rPr>
          <w:i/>
          <w:iCs/>
          <w:sz w:val="22"/>
          <w:szCs w:val="22"/>
        </w:rPr>
        <w:t>:</w:t>
      </w:r>
      <w:r w:rsidRPr="0026194B">
        <w:rPr>
          <w:sz w:val="22"/>
          <w:szCs w:val="22"/>
        </w:rPr>
        <w:t xml:space="preserve"> In certain circumstances, direct costs to IEs have been structured such that fixed price, lump-sum payments are disbursed based on completion of performance milestones or deliverables. For these types of </w:t>
      </w:r>
      <w:r w:rsidR="008F57F0" w:rsidRPr="0026194B">
        <w:rPr>
          <w:sz w:val="22"/>
          <w:szCs w:val="22"/>
        </w:rPr>
        <w:t>payments</w:t>
      </w:r>
      <w:r w:rsidRPr="0026194B">
        <w:rPr>
          <w:sz w:val="22"/>
          <w:szCs w:val="22"/>
        </w:rPr>
        <w:t>, the full commitment is recorded at the time of IEA signing since the payment structure resembles a fixed price contract with a vendor</w:t>
      </w:r>
      <w:r w:rsidR="00B66D1F" w:rsidRPr="0026194B">
        <w:rPr>
          <w:sz w:val="22"/>
          <w:szCs w:val="22"/>
        </w:rPr>
        <w:t>,</w:t>
      </w:r>
      <w:r w:rsidRPr="0026194B">
        <w:rPr>
          <w:sz w:val="22"/>
          <w:szCs w:val="22"/>
        </w:rPr>
        <w:t xml:space="preserve"> rather than the payment or reimbursement of direct costs of the IEA. </w:t>
      </w:r>
    </w:p>
    <w:p w14:paraId="4B7F2C94" w14:textId="77777777" w:rsidR="003B4C1E" w:rsidRPr="0026194B" w:rsidRDefault="003B4C1E" w:rsidP="008D40F4">
      <w:pPr>
        <w:jc w:val="both"/>
        <w:rPr>
          <w:sz w:val="22"/>
          <w:szCs w:val="22"/>
        </w:rPr>
      </w:pPr>
    </w:p>
    <w:p w14:paraId="68DDFEBB" w14:textId="159D6720" w:rsidR="003B4C1E" w:rsidRPr="0026194B" w:rsidRDefault="003B4C1E" w:rsidP="008D40F4">
      <w:pPr>
        <w:jc w:val="both"/>
        <w:rPr>
          <w:sz w:val="22"/>
          <w:szCs w:val="22"/>
        </w:rPr>
      </w:pPr>
      <w:r w:rsidRPr="0026194B">
        <w:rPr>
          <w:sz w:val="22"/>
          <w:szCs w:val="22"/>
        </w:rPr>
        <w:t>Since IEA</w:t>
      </w:r>
      <w:r w:rsidR="00B66D1F" w:rsidRPr="0026194B">
        <w:rPr>
          <w:sz w:val="22"/>
          <w:szCs w:val="22"/>
        </w:rPr>
        <w:t>s</w:t>
      </w:r>
      <w:r w:rsidRPr="0026194B">
        <w:rPr>
          <w:sz w:val="22"/>
          <w:szCs w:val="22"/>
        </w:rPr>
        <w:t xml:space="preserve"> c</w:t>
      </w:r>
      <w:r w:rsidR="00B66D1F" w:rsidRPr="0026194B">
        <w:rPr>
          <w:sz w:val="22"/>
          <w:szCs w:val="22"/>
        </w:rPr>
        <w:t>an</w:t>
      </w:r>
      <w:r w:rsidRPr="0026194B">
        <w:rPr>
          <w:sz w:val="22"/>
          <w:szCs w:val="22"/>
        </w:rPr>
        <w:t xml:space="preserve"> include one</w:t>
      </w:r>
      <w:r w:rsidR="00B66D1F" w:rsidRPr="0026194B">
        <w:rPr>
          <w:sz w:val="22"/>
          <w:szCs w:val="22"/>
        </w:rPr>
        <w:t xml:space="preserve"> or more</w:t>
      </w:r>
      <w:r w:rsidRPr="0026194B">
        <w:rPr>
          <w:sz w:val="22"/>
          <w:szCs w:val="22"/>
        </w:rPr>
        <w:t xml:space="preserve"> of these structures within a single agreement and are often tied to maximum amounts not to be exceeded during a calendar month (rather than the life of the IEA), AEs and their fiscal agents should perform an annual review of IEA commitments and reduce the overall commitment amount where monthly maximums have not been met. To facilitate this, the AE’s financial system should be able to produce reports that consolidate various IEA commitments and expenditures with the overall agreement. </w:t>
      </w:r>
    </w:p>
    <w:p w14:paraId="27824B63" w14:textId="77777777" w:rsidR="003B4C1E" w:rsidRPr="0026194B" w:rsidRDefault="003B4C1E" w:rsidP="008D40F4">
      <w:pPr>
        <w:jc w:val="both"/>
        <w:rPr>
          <w:sz w:val="22"/>
          <w:szCs w:val="22"/>
        </w:rPr>
      </w:pPr>
    </w:p>
    <w:p w14:paraId="4834636A" w14:textId="592EECE2" w:rsidR="004E3AB6" w:rsidRPr="0026194B" w:rsidRDefault="003B4C1E" w:rsidP="008D40F4">
      <w:pPr>
        <w:jc w:val="both"/>
        <w:rPr>
          <w:sz w:val="22"/>
          <w:szCs w:val="22"/>
        </w:rPr>
      </w:pPr>
      <w:r w:rsidRPr="296B8CAF">
        <w:rPr>
          <w:sz w:val="22"/>
          <w:szCs w:val="22"/>
        </w:rPr>
        <w:t>Please refer to the illustration below which displays different types of commitment forecasting:</w:t>
      </w:r>
      <w:bookmarkEnd w:id="14"/>
    </w:p>
    <w:p w14:paraId="736EE8B8" w14:textId="77777777" w:rsidR="004E3AB6" w:rsidRPr="0026194B" w:rsidRDefault="004E3AB6" w:rsidP="008D40F4">
      <w:pPr>
        <w:jc w:val="both"/>
        <w:rPr>
          <w:sz w:val="22"/>
          <w:szCs w:val="22"/>
        </w:rPr>
      </w:pPr>
    </w:p>
    <w:p w14:paraId="2B11EE42" w14:textId="1CD6B1C7" w:rsidR="003B4C1E" w:rsidRPr="0026194B" w:rsidRDefault="007D43C5" w:rsidP="008D40F4">
      <w:pPr>
        <w:jc w:val="both"/>
        <w:rPr>
          <w:sz w:val="22"/>
          <w:szCs w:val="22"/>
        </w:rPr>
      </w:pPr>
      <w:r w:rsidRPr="0026194B">
        <w:rPr>
          <w:noProof/>
        </w:rPr>
        <w:lastRenderedPageBreak/>
        <w:drawing>
          <wp:inline distT="0" distB="0" distL="0" distR="0" wp14:anchorId="65C83506" wp14:editId="4BDE9AFD">
            <wp:extent cx="5913521" cy="27686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521" cy="2768662"/>
                    </a:xfrm>
                    <a:prstGeom prst="rect">
                      <a:avLst/>
                    </a:prstGeom>
                    <a:noFill/>
                    <a:ln>
                      <a:noFill/>
                    </a:ln>
                  </pic:spPr>
                </pic:pic>
              </a:graphicData>
            </a:graphic>
          </wp:inline>
        </w:drawing>
      </w:r>
    </w:p>
    <w:p w14:paraId="69EE2294" w14:textId="7DD5EC2A" w:rsidR="003B4C1E" w:rsidRPr="0026194B" w:rsidRDefault="003B4C1E" w:rsidP="008D40F4">
      <w:pPr>
        <w:jc w:val="both"/>
        <w:rPr>
          <w:sz w:val="22"/>
          <w:szCs w:val="22"/>
        </w:rPr>
      </w:pPr>
    </w:p>
    <w:p w14:paraId="0F9C9ACC" w14:textId="77777777" w:rsidR="00980432" w:rsidRPr="0026194B" w:rsidRDefault="00980432" w:rsidP="008D40F4">
      <w:pPr>
        <w:jc w:val="both"/>
        <w:rPr>
          <w:b/>
          <w:bCs/>
        </w:rPr>
      </w:pPr>
    </w:p>
    <w:p w14:paraId="0A4586EF" w14:textId="75F27973" w:rsidR="007D0EA0" w:rsidRPr="0026194B" w:rsidRDefault="007D0EA0" w:rsidP="008D40F4">
      <w:pPr>
        <w:jc w:val="both"/>
        <w:rPr>
          <w:b/>
          <w:bCs/>
          <w:sz w:val="22"/>
          <w:szCs w:val="22"/>
        </w:rPr>
      </w:pPr>
      <w:r w:rsidRPr="0026194B">
        <w:rPr>
          <w:b/>
          <w:bCs/>
          <w:sz w:val="22"/>
          <w:szCs w:val="22"/>
        </w:rPr>
        <w:t xml:space="preserve">Other commitments </w:t>
      </w:r>
    </w:p>
    <w:p w14:paraId="4466EACC" w14:textId="72933D47" w:rsidR="00E73427" w:rsidRPr="0026194B" w:rsidRDefault="00E73427" w:rsidP="008D40F4">
      <w:pPr>
        <w:jc w:val="both"/>
        <w:rPr>
          <w:sz w:val="22"/>
          <w:szCs w:val="22"/>
        </w:rPr>
      </w:pPr>
      <w:r w:rsidRPr="0026194B">
        <w:rPr>
          <w:sz w:val="22"/>
          <w:szCs w:val="22"/>
        </w:rPr>
        <w:t xml:space="preserve">Other </w:t>
      </w:r>
      <w:r w:rsidR="007D0EA0" w:rsidRPr="0026194B">
        <w:rPr>
          <w:sz w:val="22"/>
          <w:szCs w:val="22"/>
        </w:rPr>
        <w:t xml:space="preserve">commitments such as grants, partnership agreements, etc. </w:t>
      </w:r>
      <w:r w:rsidRPr="0026194B">
        <w:rPr>
          <w:sz w:val="22"/>
          <w:szCs w:val="22"/>
        </w:rPr>
        <w:t xml:space="preserve">may include commitment and payment structures </w:t>
      </w:r>
      <w:proofErr w:type="gramStart"/>
      <w:r w:rsidRPr="0026194B">
        <w:rPr>
          <w:sz w:val="22"/>
          <w:szCs w:val="22"/>
        </w:rPr>
        <w:t>similar to</w:t>
      </w:r>
      <w:proofErr w:type="gramEnd"/>
      <w:r w:rsidRPr="0026194B">
        <w:rPr>
          <w:sz w:val="22"/>
          <w:szCs w:val="22"/>
        </w:rPr>
        <w:t xml:space="preserve"> </w:t>
      </w:r>
      <w:r w:rsidR="007D0EA0" w:rsidRPr="0026194B">
        <w:rPr>
          <w:sz w:val="22"/>
          <w:szCs w:val="22"/>
        </w:rPr>
        <w:t xml:space="preserve">contracts or </w:t>
      </w:r>
      <w:r w:rsidRPr="0026194B">
        <w:rPr>
          <w:sz w:val="22"/>
          <w:szCs w:val="22"/>
        </w:rPr>
        <w:t xml:space="preserve">IEAs. </w:t>
      </w:r>
      <w:r w:rsidR="007D0EA0" w:rsidRPr="0026194B">
        <w:rPr>
          <w:sz w:val="22"/>
          <w:szCs w:val="22"/>
        </w:rPr>
        <w:t>However, s</w:t>
      </w:r>
      <w:r w:rsidRPr="0026194B">
        <w:rPr>
          <w:sz w:val="22"/>
          <w:szCs w:val="22"/>
        </w:rPr>
        <w:t xml:space="preserve">ince structures vary by type of </w:t>
      </w:r>
      <w:r w:rsidR="007D0EA0" w:rsidRPr="0026194B">
        <w:rPr>
          <w:sz w:val="22"/>
          <w:szCs w:val="22"/>
        </w:rPr>
        <w:t>commitment</w:t>
      </w:r>
      <w:r w:rsidRPr="0026194B">
        <w:rPr>
          <w:sz w:val="22"/>
          <w:szCs w:val="22"/>
        </w:rPr>
        <w:t>, the MCC PFS lead should be consulted on how best to construct the DFPs.</w:t>
      </w:r>
    </w:p>
    <w:p w14:paraId="51234309" w14:textId="50CFA442" w:rsidR="00E73427" w:rsidRPr="0026194B" w:rsidRDefault="00E73427" w:rsidP="008D40F4">
      <w:pPr>
        <w:jc w:val="both"/>
        <w:rPr>
          <w:sz w:val="22"/>
          <w:szCs w:val="22"/>
        </w:rPr>
      </w:pPr>
    </w:p>
    <w:p w14:paraId="6D74DF07" w14:textId="2417E3DB" w:rsidR="00AB1E36" w:rsidRPr="0026194B" w:rsidRDefault="00347131" w:rsidP="008D40F4">
      <w:pPr>
        <w:pStyle w:val="Heading3"/>
        <w:jc w:val="both"/>
        <w:rPr>
          <w:rFonts w:ascii="Times New Roman" w:hAnsi="Times New Roman" w:cs="Times New Roman"/>
        </w:rPr>
      </w:pPr>
      <w:bookmarkStart w:id="15" w:name="_Toc159578694"/>
      <w:r w:rsidRPr="0026194B">
        <w:rPr>
          <w:rFonts w:ascii="Times New Roman" w:hAnsi="Times New Roman" w:cs="Times New Roman"/>
        </w:rPr>
        <w:t>DFP-cash</w:t>
      </w:r>
      <w:bookmarkEnd w:id="15"/>
    </w:p>
    <w:p w14:paraId="0ACBBE1D" w14:textId="77777777" w:rsidR="00E057A6" w:rsidRDefault="00E057A6" w:rsidP="008D40F4">
      <w:pPr>
        <w:jc w:val="both"/>
        <w:rPr>
          <w:sz w:val="22"/>
          <w:szCs w:val="22"/>
        </w:rPr>
      </w:pPr>
    </w:p>
    <w:p w14:paraId="5D821A28" w14:textId="36CA5280" w:rsidR="00AB1E36" w:rsidRPr="0026194B" w:rsidRDefault="00AB1E36" w:rsidP="008D40F4">
      <w:pPr>
        <w:jc w:val="both"/>
        <w:rPr>
          <w:sz w:val="22"/>
          <w:szCs w:val="22"/>
        </w:rPr>
      </w:pPr>
      <w:r w:rsidRPr="0026194B">
        <w:rPr>
          <w:sz w:val="22"/>
          <w:szCs w:val="22"/>
        </w:rPr>
        <w:t>Actual versus forecasted disbursements are defined as follows:</w:t>
      </w:r>
      <w:r w:rsidRPr="0026194B">
        <w:t xml:space="preserve"> </w:t>
      </w:r>
    </w:p>
    <w:p w14:paraId="63326498" w14:textId="77777777" w:rsidR="00AB1E36" w:rsidRPr="0026194B" w:rsidRDefault="00AB1E36" w:rsidP="008D40F4">
      <w:pPr>
        <w:numPr>
          <w:ilvl w:val="0"/>
          <w:numId w:val="15"/>
        </w:numPr>
        <w:jc w:val="both"/>
        <w:rPr>
          <w:sz w:val="22"/>
          <w:szCs w:val="22"/>
        </w:rPr>
      </w:pPr>
      <w:r w:rsidRPr="0026194B">
        <w:rPr>
          <w:sz w:val="22"/>
          <w:szCs w:val="22"/>
        </w:rPr>
        <w:t xml:space="preserve">An </w:t>
      </w:r>
      <w:r w:rsidRPr="0026194B">
        <w:rPr>
          <w:b/>
          <w:bCs/>
          <w:sz w:val="22"/>
          <w:szCs w:val="22"/>
        </w:rPr>
        <w:t>actual disbursement</w:t>
      </w:r>
      <w:r w:rsidRPr="0026194B">
        <w:rPr>
          <w:sz w:val="22"/>
          <w:szCs w:val="22"/>
        </w:rPr>
        <w:t xml:space="preserve"> reflects the value of any completed disbursement. </w:t>
      </w:r>
    </w:p>
    <w:p w14:paraId="1F4A02EC" w14:textId="33BEB86F" w:rsidR="00AB1E36" w:rsidRPr="0026194B" w:rsidRDefault="00AB1E36" w:rsidP="008D40F4">
      <w:pPr>
        <w:numPr>
          <w:ilvl w:val="0"/>
          <w:numId w:val="15"/>
        </w:numPr>
        <w:jc w:val="both"/>
        <w:rPr>
          <w:sz w:val="22"/>
          <w:szCs w:val="22"/>
        </w:rPr>
      </w:pPr>
      <w:r w:rsidRPr="0026194B">
        <w:rPr>
          <w:sz w:val="22"/>
          <w:szCs w:val="22"/>
        </w:rPr>
        <w:t xml:space="preserve">A </w:t>
      </w:r>
      <w:r w:rsidR="00E9588C" w:rsidRPr="0026194B">
        <w:rPr>
          <w:b/>
          <w:bCs/>
          <w:sz w:val="22"/>
          <w:szCs w:val="22"/>
        </w:rPr>
        <w:t>projected/</w:t>
      </w:r>
      <w:r w:rsidRPr="0026194B">
        <w:rPr>
          <w:b/>
          <w:bCs/>
          <w:sz w:val="22"/>
          <w:szCs w:val="22"/>
        </w:rPr>
        <w:t>forecasted disbursement</w:t>
      </w:r>
      <w:r w:rsidRPr="0026194B">
        <w:rPr>
          <w:sz w:val="22"/>
          <w:szCs w:val="22"/>
        </w:rPr>
        <w:t xml:space="preserve"> includes the value of any projected disbursement that has not yet been made.</w:t>
      </w:r>
    </w:p>
    <w:p w14:paraId="29207701" w14:textId="3270055E" w:rsidR="00AB1E36" w:rsidRPr="0026194B" w:rsidRDefault="00AB1E36" w:rsidP="008D40F4">
      <w:pPr>
        <w:jc w:val="both"/>
      </w:pPr>
    </w:p>
    <w:p w14:paraId="0DF92E9B" w14:textId="5D4CACE9" w:rsidR="00FE1BCD" w:rsidRPr="0026194B" w:rsidRDefault="00347131" w:rsidP="008D40F4">
      <w:pPr>
        <w:pStyle w:val="Heading4"/>
        <w:jc w:val="both"/>
        <w:rPr>
          <w:rFonts w:ascii="Times New Roman" w:hAnsi="Times New Roman" w:cs="Times New Roman"/>
        </w:rPr>
      </w:pPr>
      <w:r w:rsidRPr="0026194B">
        <w:rPr>
          <w:rFonts w:ascii="Times New Roman" w:hAnsi="Times New Roman" w:cs="Times New Roman"/>
        </w:rPr>
        <w:t>Columns in the DFP-cash</w:t>
      </w:r>
      <w:r w:rsidR="00FE1BCD" w:rsidRPr="0026194B">
        <w:rPr>
          <w:rFonts w:ascii="Times New Roman" w:hAnsi="Times New Roman" w:cs="Times New Roman"/>
        </w:rPr>
        <w:t xml:space="preserve"> </w:t>
      </w:r>
    </w:p>
    <w:p w14:paraId="1DBF275D" w14:textId="07A72244" w:rsidR="00FE1BCD" w:rsidRPr="0026194B" w:rsidRDefault="00FE1BCD" w:rsidP="008D40F4">
      <w:pPr>
        <w:jc w:val="both"/>
      </w:pPr>
    </w:p>
    <w:p w14:paraId="5BD35DD7" w14:textId="3FE91035" w:rsidR="00347131" w:rsidRPr="0026194B" w:rsidRDefault="00347131" w:rsidP="008D40F4">
      <w:pPr>
        <w:jc w:val="both"/>
        <w:rPr>
          <w:sz w:val="22"/>
          <w:szCs w:val="22"/>
        </w:rPr>
      </w:pPr>
      <w:r w:rsidRPr="0026194B">
        <w:rPr>
          <w:sz w:val="22"/>
          <w:szCs w:val="22"/>
        </w:rPr>
        <w:t>The descriptions below provide additional information on the columns in the DFP</w:t>
      </w:r>
      <w:r w:rsidR="008379C3" w:rsidRPr="0026194B">
        <w:rPr>
          <w:sz w:val="22"/>
          <w:szCs w:val="22"/>
        </w:rPr>
        <w:t>-cash</w:t>
      </w:r>
      <w:r w:rsidRPr="0026194B">
        <w:rPr>
          <w:sz w:val="22"/>
          <w:szCs w:val="22"/>
        </w:rPr>
        <w:t xml:space="preserve">. </w:t>
      </w:r>
      <w:r w:rsidRPr="0026194B">
        <w:rPr>
          <w:b/>
          <w:sz w:val="22"/>
          <w:szCs w:val="22"/>
        </w:rPr>
        <w:t xml:space="preserve"> </w:t>
      </w:r>
      <w:r w:rsidRPr="0026194B">
        <w:rPr>
          <w:b/>
          <w:bCs/>
          <w:sz w:val="22"/>
          <w:szCs w:val="22"/>
        </w:rPr>
        <w:t xml:space="preserve"> </w:t>
      </w:r>
      <w:r w:rsidRPr="0026194B" w:rsidDel="00B2202D">
        <w:rPr>
          <w:sz w:val="22"/>
          <w:szCs w:val="22"/>
        </w:rPr>
        <w:t xml:space="preserve"> </w:t>
      </w:r>
    </w:p>
    <w:p w14:paraId="56C3DCF7" w14:textId="77777777" w:rsidR="00347131" w:rsidRPr="0026194B" w:rsidRDefault="00347131" w:rsidP="008D40F4">
      <w:pPr>
        <w:jc w:val="both"/>
        <w:rPr>
          <w:sz w:val="22"/>
          <w:szCs w:val="22"/>
        </w:rPr>
      </w:pPr>
    </w:p>
    <w:p w14:paraId="3300E418" w14:textId="314F2033" w:rsidR="00347131" w:rsidRPr="0026194B" w:rsidRDefault="312E252B" w:rsidP="008D40F4">
      <w:pPr>
        <w:pStyle w:val="Default"/>
        <w:ind w:right="-40"/>
        <w:jc w:val="both"/>
        <w:rPr>
          <w:color w:val="auto"/>
          <w:sz w:val="22"/>
          <w:szCs w:val="22"/>
        </w:rPr>
      </w:pPr>
      <w:r w:rsidRPr="0F9B9A23">
        <w:rPr>
          <w:b/>
          <w:bCs/>
          <w:i/>
          <w:iCs/>
          <w:color w:val="auto"/>
          <w:sz w:val="22"/>
          <w:szCs w:val="22"/>
        </w:rPr>
        <w:t xml:space="preserve">Actual Cumulative </w:t>
      </w:r>
      <w:r w:rsidR="4510754D" w:rsidRPr="0F9B9A23">
        <w:rPr>
          <w:b/>
          <w:bCs/>
          <w:i/>
          <w:iCs/>
          <w:color w:val="auto"/>
          <w:sz w:val="22"/>
          <w:szCs w:val="22"/>
        </w:rPr>
        <w:t>Disbursements</w:t>
      </w:r>
      <w:r w:rsidRPr="0F9B9A23">
        <w:rPr>
          <w:b/>
          <w:bCs/>
          <w:i/>
          <w:iCs/>
          <w:color w:val="auto"/>
          <w:sz w:val="22"/>
          <w:szCs w:val="22"/>
        </w:rPr>
        <w:t xml:space="preserve"> at Beginning of Current Period</w:t>
      </w:r>
      <w:r w:rsidRPr="0F9B9A23">
        <w:rPr>
          <w:i/>
          <w:iCs/>
          <w:color w:val="auto"/>
          <w:sz w:val="22"/>
          <w:szCs w:val="22"/>
        </w:rPr>
        <w:t xml:space="preserve"> </w:t>
      </w:r>
      <w:r w:rsidRPr="0F9B9A23">
        <w:rPr>
          <w:color w:val="auto"/>
          <w:sz w:val="22"/>
          <w:szCs w:val="22"/>
        </w:rPr>
        <w:t xml:space="preserve">(Column 1): This column reflects all actual </w:t>
      </w:r>
      <w:r w:rsidR="74A0921A" w:rsidRPr="0F9B9A23">
        <w:rPr>
          <w:color w:val="auto"/>
          <w:sz w:val="22"/>
          <w:szCs w:val="22"/>
        </w:rPr>
        <w:t>disbursements</w:t>
      </w:r>
      <w:r w:rsidRPr="0F9B9A23">
        <w:rPr>
          <w:color w:val="auto"/>
          <w:sz w:val="22"/>
          <w:szCs w:val="22"/>
        </w:rPr>
        <w:t xml:space="preserve"> which have occurred in period(s) prior to the first day of the current period. For example, if a current period is April 1 to June 30, all </w:t>
      </w:r>
      <w:r w:rsidR="74A0921A" w:rsidRPr="0F9B9A23">
        <w:rPr>
          <w:color w:val="auto"/>
          <w:sz w:val="22"/>
          <w:szCs w:val="22"/>
        </w:rPr>
        <w:t>disbursements</w:t>
      </w:r>
      <w:r w:rsidRPr="0F9B9A23">
        <w:rPr>
          <w:color w:val="auto"/>
          <w:sz w:val="22"/>
          <w:szCs w:val="22"/>
        </w:rPr>
        <w:t xml:space="preserve"> made before April 1 should be listed in Column 1 of the DFP</w:t>
      </w:r>
      <w:r w:rsidR="74A0921A" w:rsidRPr="0F9B9A23">
        <w:rPr>
          <w:color w:val="auto"/>
          <w:sz w:val="22"/>
          <w:szCs w:val="22"/>
        </w:rPr>
        <w:t xml:space="preserve">-cash </w:t>
      </w:r>
      <w:r w:rsidRPr="0F9B9A23">
        <w:rPr>
          <w:color w:val="auto"/>
          <w:sz w:val="22"/>
          <w:szCs w:val="22"/>
        </w:rPr>
        <w:t>for the QDRP prepared and submitted for MCC’s approval on June 10.</w:t>
      </w:r>
      <w:r w:rsidR="7310630F" w:rsidRPr="0F9B9A23">
        <w:rPr>
          <w:color w:val="auto"/>
          <w:sz w:val="22"/>
          <w:szCs w:val="22"/>
        </w:rPr>
        <w:t xml:space="preserve">  In this example, the amount at the activity level should equal the Actual Cumulative Disbursements reported in the March MCDR.  </w:t>
      </w:r>
    </w:p>
    <w:p w14:paraId="443B49EE" w14:textId="77777777" w:rsidR="00347131" w:rsidRPr="0026194B" w:rsidRDefault="00347131" w:rsidP="008D40F4">
      <w:pPr>
        <w:pStyle w:val="Default"/>
        <w:ind w:right="-40"/>
        <w:jc w:val="both"/>
        <w:rPr>
          <w:color w:val="auto"/>
          <w:sz w:val="22"/>
          <w:szCs w:val="22"/>
        </w:rPr>
      </w:pPr>
    </w:p>
    <w:p w14:paraId="319007CD" w14:textId="2EDA45E8" w:rsidR="00347131" w:rsidRPr="0026194B" w:rsidRDefault="00347131" w:rsidP="008D40F4">
      <w:pPr>
        <w:pStyle w:val="Default"/>
        <w:ind w:right="-40"/>
        <w:jc w:val="both"/>
        <w:rPr>
          <w:sz w:val="22"/>
          <w:szCs w:val="22"/>
        </w:rPr>
      </w:pPr>
      <w:r w:rsidRPr="56A5B2ED">
        <w:rPr>
          <w:b/>
          <w:bCs/>
          <w:i/>
          <w:iCs/>
          <w:sz w:val="22"/>
          <w:szCs w:val="22"/>
        </w:rPr>
        <w:t xml:space="preserve">Projected </w:t>
      </w:r>
      <w:r w:rsidR="00B17F44" w:rsidRPr="56A5B2ED">
        <w:rPr>
          <w:b/>
          <w:bCs/>
          <w:i/>
          <w:iCs/>
          <w:sz w:val="22"/>
          <w:szCs w:val="22"/>
        </w:rPr>
        <w:t>Disbursements</w:t>
      </w:r>
      <w:r w:rsidRPr="56A5B2ED">
        <w:rPr>
          <w:b/>
          <w:bCs/>
          <w:i/>
          <w:iCs/>
          <w:sz w:val="22"/>
          <w:szCs w:val="22"/>
        </w:rPr>
        <w:t xml:space="preserve"> during the Current Period</w:t>
      </w:r>
      <w:r w:rsidRPr="56A5B2ED">
        <w:rPr>
          <w:i/>
          <w:iCs/>
          <w:sz w:val="22"/>
          <w:szCs w:val="22"/>
        </w:rPr>
        <w:t xml:space="preserve"> </w:t>
      </w:r>
      <w:r w:rsidRPr="56A5B2ED">
        <w:rPr>
          <w:sz w:val="22"/>
          <w:szCs w:val="22"/>
        </w:rPr>
        <w:t xml:space="preserve">(Column 2):  This column reflects </w:t>
      </w:r>
      <w:r w:rsidR="00B17F44" w:rsidRPr="56A5B2ED">
        <w:rPr>
          <w:color w:val="auto"/>
          <w:sz w:val="22"/>
          <w:szCs w:val="22"/>
        </w:rPr>
        <w:t xml:space="preserve">disbursements </w:t>
      </w:r>
      <w:r w:rsidRPr="56A5B2ED">
        <w:rPr>
          <w:sz w:val="22"/>
          <w:szCs w:val="22"/>
        </w:rPr>
        <w:t xml:space="preserve">made to date in the current period </w:t>
      </w:r>
      <w:r w:rsidRPr="56A5B2ED">
        <w:rPr>
          <w:i/>
          <w:iCs/>
          <w:sz w:val="22"/>
          <w:szCs w:val="22"/>
        </w:rPr>
        <w:t>plus</w:t>
      </w:r>
      <w:r w:rsidRPr="56A5B2ED">
        <w:rPr>
          <w:sz w:val="22"/>
          <w:szCs w:val="22"/>
        </w:rPr>
        <w:t xml:space="preserve"> projected </w:t>
      </w:r>
      <w:r w:rsidR="00B17F44" w:rsidRPr="56A5B2ED">
        <w:rPr>
          <w:color w:val="auto"/>
          <w:sz w:val="22"/>
          <w:szCs w:val="22"/>
        </w:rPr>
        <w:t xml:space="preserve">disbursements </w:t>
      </w:r>
      <w:r w:rsidRPr="56A5B2ED">
        <w:rPr>
          <w:sz w:val="22"/>
          <w:szCs w:val="22"/>
        </w:rPr>
        <w:t xml:space="preserve">for the remainder of the current period. For example, an AE </w:t>
      </w:r>
      <w:r w:rsidR="001708CA" w:rsidRPr="56A5B2ED">
        <w:rPr>
          <w:sz w:val="22"/>
          <w:szCs w:val="22"/>
        </w:rPr>
        <w:t>paid seven invoices</w:t>
      </w:r>
      <w:r w:rsidRPr="56A5B2ED">
        <w:rPr>
          <w:sz w:val="22"/>
          <w:szCs w:val="22"/>
        </w:rPr>
        <w:t xml:space="preserve"> during the quarter starting April 1 and ending on June 30. The AE is submitting a DR package to MCC for approval on June 10 (with 20 days remaining in the current period)</w:t>
      </w:r>
      <w:r w:rsidR="175FA7E2" w:rsidRPr="56A5B2ED">
        <w:rPr>
          <w:sz w:val="22"/>
          <w:szCs w:val="22"/>
        </w:rPr>
        <w:t>,</w:t>
      </w:r>
      <w:r w:rsidRPr="56A5B2ED">
        <w:rPr>
          <w:sz w:val="22"/>
          <w:szCs w:val="22"/>
        </w:rPr>
        <w:t xml:space="preserve"> and it anticipates </w:t>
      </w:r>
      <w:r w:rsidR="001708CA" w:rsidRPr="56A5B2ED">
        <w:rPr>
          <w:sz w:val="22"/>
          <w:szCs w:val="22"/>
        </w:rPr>
        <w:t>paying three more invoices</w:t>
      </w:r>
      <w:r w:rsidRPr="56A5B2ED">
        <w:rPr>
          <w:sz w:val="22"/>
          <w:szCs w:val="22"/>
        </w:rPr>
        <w:t xml:space="preserve"> in the time remaining. If the probability of executing these projected </w:t>
      </w:r>
      <w:r w:rsidR="001708CA" w:rsidRPr="56A5B2ED">
        <w:rPr>
          <w:color w:val="auto"/>
          <w:sz w:val="22"/>
          <w:szCs w:val="22"/>
        </w:rPr>
        <w:t xml:space="preserve">disbursements </w:t>
      </w:r>
      <w:r w:rsidRPr="56A5B2ED">
        <w:rPr>
          <w:sz w:val="22"/>
          <w:szCs w:val="22"/>
        </w:rPr>
        <w:t xml:space="preserve">is high, the AE should include all </w:t>
      </w:r>
      <w:r w:rsidR="001708CA" w:rsidRPr="56A5B2ED">
        <w:rPr>
          <w:sz w:val="22"/>
          <w:szCs w:val="22"/>
        </w:rPr>
        <w:t>ten</w:t>
      </w:r>
      <w:r w:rsidRPr="56A5B2ED">
        <w:rPr>
          <w:sz w:val="22"/>
          <w:szCs w:val="22"/>
        </w:rPr>
        <w:t xml:space="preserve"> </w:t>
      </w:r>
      <w:r w:rsidR="001708CA" w:rsidRPr="56A5B2ED">
        <w:rPr>
          <w:color w:val="auto"/>
          <w:sz w:val="22"/>
          <w:szCs w:val="22"/>
        </w:rPr>
        <w:t xml:space="preserve">disbursements </w:t>
      </w:r>
      <w:r w:rsidRPr="56A5B2ED">
        <w:rPr>
          <w:sz w:val="22"/>
          <w:szCs w:val="22"/>
        </w:rPr>
        <w:t>in the Column 2 of the DF</w:t>
      </w:r>
      <w:r w:rsidR="001708CA" w:rsidRPr="56A5B2ED">
        <w:rPr>
          <w:sz w:val="22"/>
          <w:szCs w:val="22"/>
        </w:rPr>
        <w:t>P-cash</w:t>
      </w:r>
      <w:r w:rsidRPr="56A5B2ED">
        <w:rPr>
          <w:sz w:val="22"/>
          <w:szCs w:val="22"/>
        </w:rPr>
        <w:t xml:space="preserve">. </w:t>
      </w:r>
      <w:r w:rsidR="002F26ED">
        <w:rPr>
          <w:sz w:val="22"/>
          <w:szCs w:val="22"/>
        </w:rPr>
        <w:t xml:space="preserve">If the probability of executing these </w:t>
      </w:r>
      <w:r w:rsidR="00975541">
        <w:rPr>
          <w:sz w:val="22"/>
          <w:szCs w:val="22"/>
        </w:rPr>
        <w:t xml:space="preserve">three </w:t>
      </w:r>
      <w:r w:rsidR="00834BDB">
        <w:rPr>
          <w:sz w:val="22"/>
          <w:szCs w:val="22"/>
        </w:rPr>
        <w:t>disbursements is low, the A</w:t>
      </w:r>
      <w:r w:rsidR="00975541">
        <w:rPr>
          <w:sz w:val="22"/>
          <w:szCs w:val="22"/>
        </w:rPr>
        <w:t>E</w:t>
      </w:r>
      <w:r w:rsidR="00834BDB">
        <w:rPr>
          <w:sz w:val="22"/>
          <w:szCs w:val="22"/>
        </w:rPr>
        <w:t xml:space="preserve"> should include them in the projections for the Next Period, and not include them in Column 2.</w:t>
      </w:r>
    </w:p>
    <w:p w14:paraId="7D88233A" w14:textId="77777777" w:rsidR="00347131" w:rsidRPr="0026194B" w:rsidRDefault="00347131" w:rsidP="008D40F4">
      <w:pPr>
        <w:pStyle w:val="Default"/>
        <w:ind w:right="-40"/>
        <w:jc w:val="both"/>
        <w:rPr>
          <w:color w:val="auto"/>
          <w:sz w:val="22"/>
          <w:szCs w:val="22"/>
        </w:rPr>
      </w:pPr>
    </w:p>
    <w:p w14:paraId="6ABC6D84" w14:textId="3450D433" w:rsidR="00347131" w:rsidRPr="0026194B" w:rsidRDefault="00347131" w:rsidP="008D40F4">
      <w:pPr>
        <w:pStyle w:val="Default"/>
        <w:ind w:right="-40"/>
        <w:jc w:val="both"/>
        <w:rPr>
          <w:color w:val="auto"/>
          <w:sz w:val="22"/>
          <w:szCs w:val="22"/>
        </w:rPr>
      </w:pPr>
      <w:r w:rsidRPr="0026194B">
        <w:rPr>
          <w:b/>
          <w:bCs/>
          <w:i/>
          <w:iCs/>
          <w:color w:val="auto"/>
          <w:sz w:val="22"/>
          <w:szCs w:val="22"/>
        </w:rPr>
        <w:t>Next Period</w:t>
      </w:r>
      <w:r w:rsidRPr="0026194B">
        <w:rPr>
          <w:i/>
          <w:iCs/>
          <w:color w:val="auto"/>
          <w:sz w:val="22"/>
          <w:szCs w:val="22"/>
        </w:rPr>
        <w:t xml:space="preserve"> </w:t>
      </w:r>
      <w:r w:rsidRPr="0026194B">
        <w:rPr>
          <w:color w:val="auto"/>
          <w:sz w:val="22"/>
          <w:szCs w:val="22"/>
        </w:rPr>
        <w:t xml:space="preserve">(Columns 3-5): These columns show expected new </w:t>
      </w:r>
      <w:r w:rsidR="001708CA" w:rsidRPr="0026194B">
        <w:rPr>
          <w:color w:val="auto"/>
          <w:sz w:val="22"/>
          <w:szCs w:val="22"/>
        </w:rPr>
        <w:t>disbursements</w:t>
      </w:r>
      <w:r w:rsidRPr="0026194B">
        <w:rPr>
          <w:color w:val="auto"/>
          <w:sz w:val="22"/>
          <w:szCs w:val="22"/>
        </w:rPr>
        <w:t xml:space="preserve">, by month, for the next </w:t>
      </w:r>
      <w:r w:rsidRPr="0026194B">
        <w:rPr>
          <w:color w:val="auto"/>
          <w:sz w:val="22"/>
          <w:szCs w:val="22"/>
        </w:rPr>
        <w:lastRenderedPageBreak/>
        <w:t>quarter.</w:t>
      </w:r>
    </w:p>
    <w:p w14:paraId="59C24E1F" w14:textId="77777777" w:rsidR="00347131" w:rsidRPr="0026194B" w:rsidRDefault="00347131" w:rsidP="008D40F4">
      <w:pPr>
        <w:pStyle w:val="Default"/>
        <w:ind w:right="-40"/>
        <w:jc w:val="both"/>
        <w:rPr>
          <w:color w:val="auto"/>
          <w:sz w:val="22"/>
          <w:szCs w:val="22"/>
        </w:rPr>
      </w:pPr>
    </w:p>
    <w:p w14:paraId="0E3BEE0E" w14:textId="4377A389" w:rsidR="00347131" w:rsidRPr="0026194B" w:rsidRDefault="00347131" w:rsidP="008D40F4">
      <w:pPr>
        <w:pStyle w:val="Default"/>
        <w:spacing w:line="259" w:lineRule="auto"/>
        <w:ind w:right="-40"/>
        <w:jc w:val="both"/>
        <w:rPr>
          <w:color w:val="auto"/>
          <w:sz w:val="22"/>
          <w:szCs w:val="22"/>
        </w:rPr>
      </w:pPr>
      <w:r w:rsidRPr="56A5B2ED">
        <w:rPr>
          <w:b/>
          <w:bCs/>
          <w:i/>
          <w:iCs/>
          <w:color w:val="auto"/>
          <w:sz w:val="22"/>
          <w:szCs w:val="22"/>
        </w:rPr>
        <w:t xml:space="preserve">Next Period – </w:t>
      </w:r>
      <w:r w:rsidR="733E31E9" w:rsidRPr="73E77B15">
        <w:rPr>
          <w:b/>
          <w:bCs/>
          <w:i/>
          <w:iCs/>
          <w:color w:val="auto"/>
          <w:sz w:val="22"/>
          <w:szCs w:val="22"/>
        </w:rPr>
        <w:t xml:space="preserve">Total </w:t>
      </w:r>
      <w:r w:rsidRPr="56A5B2ED">
        <w:rPr>
          <w:b/>
          <w:bCs/>
          <w:i/>
          <w:iCs/>
          <w:color w:val="auto"/>
          <w:sz w:val="22"/>
          <w:szCs w:val="22"/>
        </w:rPr>
        <w:t>Quarter</w:t>
      </w:r>
      <w:r w:rsidRPr="73E77B15">
        <w:rPr>
          <w:b/>
          <w:i/>
          <w:color w:val="auto"/>
          <w:sz w:val="22"/>
          <w:szCs w:val="22"/>
        </w:rPr>
        <w:t xml:space="preserve"> </w:t>
      </w:r>
      <w:r w:rsidRPr="56A5B2ED">
        <w:rPr>
          <w:color w:val="auto"/>
          <w:sz w:val="22"/>
          <w:szCs w:val="22"/>
        </w:rPr>
        <w:t>(Column 6): This column is a</w:t>
      </w:r>
      <w:r w:rsidR="006819EF">
        <w:rPr>
          <w:color w:val="auto"/>
          <w:sz w:val="22"/>
          <w:szCs w:val="22"/>
        </w:rPr>
        <w:t>n</w:t>
      </w:r>
      <w:r w:rsidRPr="56A5B2ED">
        <w:rPr>
          <w:color w:val="auto"/>
          <w:sz w:val="22"/>
          <w:szCs w:val="22"/>
        </w:rPr>
        <w:t xml:space="preserve"> </w:t>
      </w:r>
      <w:r w:rsidR="3F10B008" w:rsidRPr="56A5B2ED">
        <w:rPr>
          <w:color w:val="auto"/>
          <w:sz w:val="22"/>
          <w:szCs w:val="22"/>
        </w:rPr>
        <w:t>auto</w:t>
      </w:r>
      <w:r w:rsidRPr="56A5B2ED">
        <w:rPr>
          <w:color w:val="auto"/>
          <w:sz w:val="22"/>
          <w:szCs w:val="22"/>
        </w:rPr>
        <w:t xml:space="preserve">-calculating summation of the monthly </w:t>
      </w:r>
      <w:r w:rsidR="72D2F1D4" w:rsidRPr="003E317B">
        <w:rPr>
          <w:color w:val="auto"/>
          <w:sz w:val="22"/>
          <w:szCs w:val="22"/>
        </w:rPr>
        <w:t>values</w:t>
      </w:r>
      <w:r w:rsidRPr="56A5B2ED">
        <w:rPr>
          <w:color w:val="auto"/>
          <w:sz w:val="22"/>
          <w:szCs w:val="22"/>
        </w:rPr>
        <w:t xml:space="preserve"> that shows total forecasted </w:t>
      </w:r>
      <w:r w:rsidR="001708CA" w:rsidRPr="56A5B2ED">
        <w:rPr>
          <w:color w:val="auto"/>
          <w:sz w:val="22"/>
          <w:szCs w:val="22"/>
        </w:rPr>
        <w:t xml:space="preserve">disbursements </w:t>
      </w:r>
      <w:r w:rsidRPr="56A5B2ED">
        <w:rPr>
          <w:color w:val="auto"/>
          <w:sz w:val="22"/>
          <w:szCs w:val="22"/>
        </w:rPr>
        <w:t xml:space="preserve">for the next quarter. </w:t>
      </w:r>
    </w:p>
    <w:p w14:paraId="2C284D0E" w14:textId="77777777" w:rsidR="00347131" w:rsidRPr="0026194B" w:rsidRDefault="00347131" w:rsidP="008D40F4">
      <w:pPr>
        <w:pStyle w:val="Default"/>
        <w:ind w:right="-40"/>
        <w:jc w:val="both"/>
        <w:rPr>
          <w:color w:val="auto"/>
          <w:sz w:val="22"/>
          <w:szCs w:val="22"/>
        </w:rPr>
      </w:pPr>
    </w:p>
    <w:p w14:paraId="2120CDE2" w14:textId="3D05133C" w:rsidR="00347131" w:rsidRPr="0026194B" w:rsidRDefault="00347131" w:rsidP="008D40F4">
      <w:pPr>
        <w:pStyle w:val="Default"/>
        <w:ind w:right="-40"/>
        <w:jc w:val="both"/>
        <w:rPr>
          <w:color w:val="auto"/>
          <w:sz w:val="22"/>
          <w:szCs w:val="22"/>
        </w:rPr>
      </w:pPr>
      <w:r w:rsidRPr="0026194B">
        <w:rPr>
          <w:b/>
          <w:bCs/>
          <w:i/>
          <w:iCs/>
          <w:color w:val="auto"/>
          <w:sz w:val="22"/>
          <w:szCs w:val="22"/>
        </w:rPr>
        <w:t>Future Periods</w:t>
      </w:r>
      <w:r w:rsidRPr="0026194B">
        <w:rPr>
          <w:i/>
          <w:iCs/>
          <w:color w:val="auto"/>
          <w:sz w:val="22"/>
          <w:szCs w:val="22"/>
        </w:rPr>
        <w:t xml:space="preserve"> </w:t>
      </w:r>
      <w:r w:rsidRPr="0026194B">
        <w:rPr>
          <w:color w:val="auto"/>
          <w:sz w:val="22"/>
          <w:szCs w:val="22"/>
        </w:rPr>
        <w:t>(Column 7</w:t>
      </w:r>
      <w:r w:rsidR="00842D75">
        <w:rPr>
          <w:color w:val="auto"/>
          <w:sz w:val="22"/>
          <w:szCs w:val="22"/>
        </w:rPr>
        <w:t xml:space="preserve"> plus additional columns</w:t>
      </w:r>
      <w:r w:rsidRPr="0026194B">
        <w:rPr>
          <w:color w:val="auto"/>
          <w:sz w:val="22"/>
          <w:szCs w:val="22"/>
        </w:rPr>
        <w:t xml:space="preserve">): </w:t>
      </w:r>
      <w:r w:rsidRPr="0026194B">
        <w:rPr>
          <w:bCs/>
          <w:color w:val="auto"/>
          <w:sz w:val="22"/>
          <w:szCs w:val="22"/>
        </w:rPr>
        <w:t>These</w:t>
      </w:r>
      <w:r w:rsidRPr="0026194B">
        <w:rPr>
          <w:color w:val="auto"/>
          <w:sz w:val="22"/>
          <w:szCs w:val="22"/>
        </w:rPr>
        <w:t xml:space="preserve"> columns show expected new </w:t>
      </w:r>
      <w:r w:rsidR="001708CA" w:rsidRPr="0026194B">
        <w:rPr>
          <w:color w:val="auto"/>
          <w:sz w:val="22"/>
          <w:szCs w:val="22"/>
        </w:rPr>
        <w:t>disbursements</w:t>
      </w:r>
      <w:r w:rsidRPr="0026194B">
        <w:rPr>
          <w:color w:val="auto"/>
          <w:sz w:val="22"/>
          <w:szCs w:val="22"/>
        </w:rPr>
        <w:t>, by quarter, for the life of the MCC grant.</w:t>
      </w:r>
    </w:p>
    <w:p w14:paraId="028708A2" w14:textId="77777777" w:rsidR="00347131" w:rsidRPr="0026194B" w:rsidRDefault="00347131" w:rsidP="008D40F4">
      <w:pPr>
        <w:pStyle w:val="Default"/>
        <w:ind w:right="-40"/>
        <w:jc w:val="both"/>
        <w:rPr>
          <w:color w:val="auto"/>
          <w:sz w:val="22"/>
          <w:szCs w:val="22"/>
        </w:rPr>
      </w:pPr>
    </w:p>
    <w:p w14:paraId="1162E4CE" w14:textId="77FB84BD" w:rsidR="00347131" w:rsidRPr="0026194B" w:rsidRDefault="00347131" w:rsidP="008D40F4">
      <w:pPr>
        <w:pStyle w:val="Default"/>
        <w:ind w:right="-40"/>
        <w:jc w:val="both"/>
        <w:rPr>
          <w:color w:val="auto"/>
          <w:sz w:val="22"/>
          <w:szCs w:val="22"/>
        </w:rPr>
      </w:pPr>
      <w:r w:rsidRPr="56A5B2ED">
        <w:rPr>
          <w:b/>
          <w:bCs/>
          <w:i/>
          <w:iCs/>
          <w:color w:val="auto"/>
          <w:sz w:val="22"/>
          <w:szCs w:val="22"/>
        </w:rPr>
        <w:t xml:space="preserve">Total </w:t>
      </w:r>
      <w:r w:rsidR="001708CA" w:rsidRPr="56A5B2ED">
        <w:rPr>
          <w:b/>
          <w:bCs/>
          <w:i/>
          <w:iCs/>
          <w:color w:val="auto"/>
          <w:sz w:val="22"/>
          <w:szCs w:val="22"/>
        </w:rPr>
        <w:t>Disbursements</w:t>
      </w:r>
      <w:r w:rsidRPr="56A5B2ED">
        <w:rPr>
          <w:b/>
          <w:bCs/>
          <w:i/>
          <w:iCs/>
          <w:color w:val="auto"/>
          <w:sz w:val="22"/>
          <w:szCs w:val="22"/>
        </w:rPr>
        <w:t xml:space="preserve"> as Currently Forecasted</w:t>
      </w:r>
      <w:r w:rsidRPr="56A5B2ED">
        <w:rPr>
          <w:color w:val="auto"/>
          <w:sz w:val="22"/>
          <w:szCs w:val="22"/>
        </w:rPr>
        <w:t>: This is an auto-calculat</w:t>
      </w:r>
      <w:r w:rsidR="01A42FFD" w:rsidRPr="56A5B2ED">
        <w:rPr>
          <w:color w:val="auto"/>
          <w:sz w:val="22"/>
          <w:szCs w:val="22"/>
        </w:rPr>
        <w:t>ing</w:t>
      </w:r>
      <w:r w:rsidRPr="56A5B2ED">
        <w:rPr>
          <w:color w:val="auto"/>
          <w:sz w:val="22"/>
          <w:szCs w:val="22"/>
        </w:rPr>
        <w:t xml:space="preserve"> summation of the actual cumulative </w:t>
      </w:r>
      <w:r w:rsidR="00B96328" w:rsidRPr="56A5B2ED">
        <w:rPr>
          <w:color w:val="auto"/>
          <w:sz w:val="22"/>
          <w:szCs w:val="22"/>
        </w:rPr>
        <w:t xml:space="preserve">disbursements </w:t>
      </w:r>
      <w:r w:rsidRPr="56A5B2ED">
        <w:rPr>
          <w:color w:val="auto"/>
          <w:sz w:val="22"/>
          <w:szCs w:val="22"/>
        </w:rPr>
        <w:t xml:space="preserve">made in the cumulative period(s), plus projected </w:t>
      </w:r>
      <w:r w:rsidR="00B96328" w:rsidRPr="56A5B2ED">
        <w:rPr>
          <w:color w:val="auto"/>
          <w:sz w:val="22"/>
          <w:szCs w:val="22"/>
        </w:rPr>
        <w:t xml:space="preserve">disbursements </w:t>
      </w:r>
      <w:r w:rsidRPr="56A5B2ED">
        <w:rPr>
          <w:color w:val="auto"/>
          <w:sz w:val="22"/>
          <w:szCs w:val="22"/>
        </w:rPr>
        <w:t xml:space="preserve">in the current period, plus forecasted </w:t>
      </w:r>
      <w:r w:rsidR="00B96328" w:rsidRPr="56A5B2ED">
        <w:rPr>
          <w:color w:val="auto"/>
          <w:sz w:val="22"/>
          <w:szCs w:val="22"/>
        </w:rPr>
        <w:t xml:space="preserve">disbursements </w:t>
      </w:r>
      <w:r w:rsidRPr="56A5B2ED">
        <w:rPr>
          <w:color w:val="auto"/>
          <w:sz w:val="22"/>
          <w:szCs w:val="22"/>
        </w:rPr>
        <w:t xml:space="preserve">through the end of the grant. Figures in this column should be close to those in the Total as Per Current Approved Multi-Year Financial Plan column, while some difference is probable. </w:t>
      </w:r>
    </w:p>
    <w:p w14:paraId="5972163A" w14:textId="77777777" w:rsidR="00347131" w:rsidRPr="0026194B" w:rsidRDefault="00347131" w:rsidP="008D40F4">
      <w:pPr>
        <w:pStyle w:val="Default"/>
        <w:ind w:right="-40"/>
        <w:jc w:val="both"/>
        <w:rPr>
          <w:sz w:val="22"/>
          <w:szCs w:val="22"/>
        </w:rPr>
      </w:pPr>
    </w:p>
    <w:p w14:paraId="08CBA0E4" w14:textId="6758ACA3" w:rsidR="00347131" w:rsidRPr="0026194B" w:rsidRDefault="312E252B" w:rsidP="008D40F4">
      <w:pPr>
        <w:pStyle w:val="Default"/>
        <w:ind w:right="-40"/>
        <w:jc w:val="both"/>
        <w:rPr>
          <w:sz w:val="22"/>
          <w:szCs w:val="22"/>
        </w:rPr>
      </w:pPr>
      <w:r w:rsidRPr="0F9B9A23">
        <w:rPr>
          <w:b/>
          <w:bCs/>
          <w:i/>
          <w:iCs/>
          <w:sz w:val="22"/>
          <w:szCs w:val="22"/>
        </w:rPr>
        <w:t>Total as Per Current Approved Multi-Year Financial Plan</w:t>
      </w:r>
      <w:r w:rsidRPr="0F9B9A23">
        <w:rPr>
          <w:i/>
          <w:iCs/>
          <w:sz w:val="22"/>
          <w:szCs w:val="22"/>
        </w:rPr>
        <w:t xml:space="preserve">: </w:t>
      </w:r>
      <w:r w:rsidRPr="0F9B9A23">
        <w:rPr>
          <w:sz w:val="22"/>
          <w:szCs w:val="22"/>
        </w:rPr>
        <w:t xml:space="preserve"> This column shows the current approved funding allocations by project and activity</w:t>
      </w:r>
      <w:r w:rsidR="4C32CAEB" w:rsidRPr="0F9B9A23">
        <w:rPr>
          <w:sz w:val="22"/>
          <w:szCs w:val="22"/>
        </w:rPr>
        <w:t>, as per the latest approved Schedule A</w:t>
      </w:r>
      <w:r w:rsidRPr="0F9B9A23">
        <w:rPr>
          <w:sz w:val="22"/>
          <w:szCs w:val="22"/>
        </w:rPr>
        <w:t xml:space="preserve">. Note that this will only include figures at the project and activity levels. </w:t>
      </w:r>
    </w:p>
    <w:p w14:paraId="06E7FAF0" w14:textId="77777777" w:rsidR="00347131" w:rsidRPr="0026194B" w:rsidRDefault="00347131" w:rsidP="008D40F4">
      <w:pPr>
        <w:ind w:left="720"/>
        <w:jc w:val="both"/>
        <w:rPr>
          <w:sz w:val="22"/>
          <w:szCs w:val="22"/>
        </w:rPr>
      </w:pPr>
    </w:p>
    <w:p w14:paraId="0C926DD5" w14:textId="3171F095" w:rsidR="00347131" w:rsidRPr="0026194B" w:rsidRDefault="00347131" w:rsidP="008D40F4">
      <w:pPr>
        <w:jc w:val="both"/>
        <w:rPr>
          <w:sz w:val="22"/>
          <w:szCs w:val="22"/>
        </w:rPr>
      </w:pPr>
      <w:r w:rsidRPr="56A5B2ED">
        <w:rPr>
          <w:b/>
          <w:bCs/>
          <w:i/>
          <w:iCs/>
          <w:sz w:val="22"/>
          <w:szCs w:val="22"/>
        </w:rPr>
        <w:t>Variance – Projections vs. Approved Plan, Under/Over Budget Difference</w:t>
      </w:r>
      <w:r w:rsidRPr="56A5B2ED">
        <w:rPr>
          <w:i/>
          <w:iCs/>
          <w:sz w:val="22"/>
          <w:szCs w:val="22"/>
        </w:rPr>
        <w:t xml:space="preserve">: </w:t>
      </w:r>
      <w:r w:rsidRPr="56A5B2ED">
        <w:rPr>
          <w:sz w:val="22"/>
          <w:szCs w:val="22"/>
        </w:rPr>
        <w:t>This is a</w:t>
      </w:r>
      <w:r w:rsidR="006819EF">
        <w:rPr>
          <w:sz w:val="22"/>
          <w:szCs w:val="22"/>
        </w:rPr>
        <w:t>n</w:t>
      </w:r>
      <w:r w:rsidRPr="56A5B2ED">
        <w:rPr>
          <w:sz w:val="22"/>
          <w:szCs w:val="22"/>
        </w:rPr>
        <w:t xml:space="preserve"> </w:t>
      </w:r>
      <w:r w:rsidR="25D1BA0A" w:rsidRPr="56A5B2ED">
        <w:rPr>
          <w:sz w:val="22"/>
          <w:szCs w:val="22"/>
        </w:rPr>
        <w:t>auto</w:t>
      </w:r>
      <w:r w:rsidRPr="56A5B2ED">
        <w:rPr>
          <w:sz w:val="22"/>
          <w:szCs w:val="22"/>
        </w:rPr>
        <w:t xml:space="preserve">-calculating column which shows the difference (over/under) at the project and activity levels (not for sub-activity or below) between Total </w:t>
      </w:r>
      <w:r w:rsidR="00C63A0A" w:rsidRPr="56A5B2ED">
        <w:rPr>
          <w:sz w:val="22"/>
          <w:szCs w:val="22"/>
        </w:rPr>
        <w:t>Disbursements</w:t>
      </w:r>
      <w:r w:rsidRPr="56A5B2ED">
        <w:rPr>
          <w:sz w:val="22"/>
          <w:szCs w:val="22"/>
        </w:rPr>
        <w:t xml:space="preserve"> as Currently Forecasted and the Total as per Current Approved Multi-Year Financial Plan. </w:t>
      </w:r>
      <w:r w:rsidR="00BB7C4C" w:rsidRPr="56A5B2ED">
        <w:rPr>
          <w:sz w:val="22"/>
          <w:szCs w:val="22"/>
        </w:rPr>
        <w:t>Assessing variances in each project/activity, in coordination with the DFP- commitments, will help the AE determine if and</w:t>
      </w:r>
      <w:r w:rsidR="005673E5">
        <w:rPr>
          <w:sz w:val="22"/>
          <w:szCs w:val="22"/>
        </w:rPr>
        <w:t>/or</w:t>
      </w:r>
      <w:r w:rsidR="00BB7C4C" w:rsidRPr="56A5B2ED">
        <w:rPr>
          <w:sz w:val="22"/>
          <w:szCs w:val="22"/>
        </w:rPr>
        <w:t xml:space="preserve"> when a reallocation or adjustment of funding (via Schedule A) may become necessary. </w:t>
      </w:r>
      <w:r w:rsidRPr="56A5B2ED">
        <w:rPr>
          <w:sz w:val="22"/>
          <w:szCs w:val="22"/>
        </w:rPr>
        <w:t>Unless a reallocation is planned, the figures in this column should be close to zero, noting that:</w:t>
      </w:r>
    </w:p>
    <w:p w14:paraId="688C3109" w14:textId="77777777" w:rsidR="00347131" w:rsidRPr="0026194B" w:rsidRDefault="00347131" w:rsidP="008D40F4">
      <w:pPr>
        <w:ind w:left="720"/>
        <w:jc w:val="both"/>
        <w:rPr>
          <w:sz w:val="22"/>
          <w:szCs w:val="22"/>
        </w:rPr>
      </w:pPr>
    </w:p>
    <w:p w14:paraId="654209FF" w14:textId="0A401441" w:rsidR="00347131" w:rsidRPr="0026194B" w:rsidRDefault="00347131" w:rsidP="008D40F4">
      <w:pPr>
        <w:numPr>
          <w:ilvl w:val="0"/>
          <w:numId w:val="13"/>
        </w:numPr>
        <w:tabs>
          <w:tab w:val="clear" w:pos="1080"/>
          <w:tab w:val="num" w:pos="720"/>
        </w:tabs>
        <w:ind w:left="720"/>
        <w:jc w:val="both"/>
        <w:rPr>
          <w:sz w:val="22"/>
          <w:szCs w:val="22"/>
        </w:rPr>
      </w:pPr>
      <w:r w:rsidRPr="0026194B">
        <w:rPr>
          <w:sz w:val="22"/>
          <w:szCs w:val="22"/>
        </w:rPr>
        <w:t xml:space="preserve">Negative figures will convey a risk of “over </w:t>
      </w:r>
      <w:r w:rsidR="003C7740" w:rsidRPr="0026194B">
        <w:rPr>
          <w:sz w:val="22"/>
          <w:szCs w:val="22"/>
        </w:rPr>
        <w:t>disbursement</w:t>
      </w:r>
      <w:r w:rsidRPr="0026194B">
        <w:rPr>
          <w:sz w:val="22"/>
          <w:szCs w:val="22"/>
        </w:rPr>
        <w:t xml:space="preserve">” (if current forecasts were to become a reality, there </w:t>
      </w:r>
      <w:r w:rsidR="004D2A43">
        <w:rPr>
          <w:sz w:val="22"/>
          <w:szCs w:val="22"/>
        </w:rPr>
        <w:t>would</w:t>
      </w:r>
      <w:r w:rsidRPr="0026194B">
        <w:rPr>
          <w:sz w:val="22"/>
          <w:szCs w:val="22"/>
        </w:rPr>
        <w:t xml:space="preserve"> not be enough funds to implement the </w:t>
      </w:r>
      <w:r w:rsidR="005673E5">
        <w:rPr>
          <w:sz w:val="22"/>
          <w:szCs w:val="22"/>
        </w:rPr>
        <w:t>project/activity</w:t>
      </w:r>
      <w:r w:rsidRPr="0026194B">
        <w:rPr>
          <w:sz w:val="22"/>
          <w:szCs w:val="22"/>
        </w:rPr>
        <w:t xml:space="preserve">); and </w:t>
      </w:r>
    </w:p>
    <w:p w14:paraId="318672C6" w14:textId="68EB6F0A" w:rsidR="00347131" w:rsidRPr="0026194B" w:rsidRDefault="00347131" w:rsidP="008D40F4">
      <w:pPr>
        <w:numPr>
          <w:ilvl w:val="0"/>
          <w:numId w:val="13"/>
        </w:numPr>
        <w:tabs>
          <w:tab w:val="clear" w:pos="1080"/>
          <w:tab w:val="num" w:pos="720"/>
        </w:tabs>
        <w:ind w:left="720"/>
        <w:jc w:val="both"/>
        <w:rPr>
          <w:sz w:val="22"/>
          <w:szCs w:val="22"/>
        </w:rPr>
      </w:pPr>
      <w:r w:rsidRPr="56A5B2ED">
        <w:rPr>
          <w:sz w:val="22"/>
          <w:szCs w:val="22"/>
        </w:rPr>
        <w:t xml:space="preserve">Positive figures </w:t>
      </w:r>
      <w:r w:rsidR="009D2170">
        <w:rPr>
          <w:sz w:val="22"/>
          <w:szCs w:val="22"/>
        </w:rPr>
        <w:t xml:space="preserve">may </w:t>
      </w:r>
      <w:r w:rsidRPr="56A5B2ED">
        <w:rPr>
          <w:sz w:val="22"/>
          <w:szCs w:val="22"/>
        </w:rPr>
        <w:t>indicate</w:t>
      </w:r>
      <w:r w:rsidR="0023026D">
        <w:rPr>
          <w:rStyle w:val="CommentReference"/>
        </w:rPr>
        <w:t xml:space="preserve"> </w:t>
      </w:r>
      <w:r w:rsidR="004D2A43" w:rsidRPr="56A5B2ED">
        <w:rPr>
          <w:sz w:val="22"/>
          <w:szCs w:val="22"/>
        </w:rPr>
        <w:t xml:space="preserve">an </w:t>
      </w:r>
      <w:r w:rsidRPr="56A5B2ED">
        <w:rPr>
          <w:sz w:val="22"/>
          <w:szCs w:val="22"/>
        </w:rPr>
        <w:t xml:space="preserve">expectation of savings at the end of the MCC </w:t>
      </w:r>
      <w:r w:rsidR="005673E5" w:rsidRPr="56A5B2ED">
        <w:rPr>
          <w:sz w:val="22"/>
          <w:szCs w:val="22"/>
        </w:rPr>
        <w:t>grant</w:t>
      </w:r>
      <w:r w:rsidR="00CC3FF6">
        <w:rPr>
          <w:sz w:val="22"/>
          <w:szCs w:val="22"/>
        </w:rPr>
        <w:t xml:space="preserve">, noting that </w:t>
      </w:r>
      <w:r w:rsidRPr="56A5B2ED">
        <w:rPr>
          <w:sz w:val="22"/>
          <w:szCs w:val="22"/>
        </w:rPr>
        <w:t>current projections are less than the current budgeted amount.</w:t>
      </w:r>
    </w:p>
    <w:p w14:paraId="0DEDE86E" w14:textId="77777777" w:rsidR="00347131" w:rsidRPr="0026194B" w:rsidRDefault="00347131" w:rsidP="008D40F4">
      <w:pPr>
        <w:jc w:val="both"/>
        <w:rPr>
          <w:sz w:val="22"/>
          <w:szCs w:val="22"/>
        </w:rPr>
      </w:pPr>
    </w:p>
    <w:p w14:paraId="097BB0DC" w14:textId="2B0FD1A3" w:rsidR="00BF7A1A" w:rsidRDefault="00347131" w:rsidP="008D40F4">
      <w:pPr>
        <w:pStyle w:val="Default"/>
        <w:ind w:right="-40"/>
        <w:jc w:val="both"/>
        <w:rPr>
          <w:sz w:val="22"/>
          <w:szCs w:val="22"/>
        </w:rPr>
      </w:pPr>
      <w:r w:rsidRPr="56A5B2ED">
        <w:rPr>
          <w:sz w:val="22"/>
          <w:szCs w:val="22"/>
        </w:rPr>
        <w:t>The grand total of everything in this column should be close to zero, and should in no case be negative</w:t>
      </w:r>
      <w:r w:rsidR="004C0FE2" w:rsidRPr="56A5B2ED">
        <w:rPr>
          <w:sz w:val="22"/>
          <w:szCs w:val="22"/>
        </w:rPr>
        <w:t>,</w:t>
      </w:r>
      <w:r w:rsidRPr="56A5B2ED">
        <w:rPr>
          <w:sz w:val="22"/>
          <w:szCs w:val="22"/>
        </w:rPr>
        <w:t xml:space="preserve"> which would indicate that the AE is planning</w:t>
      </w:r>
      <w:r w:rsidR="003C7740" w:rsidRPr="56A5B2ED">
        <w:rPr>
          <w:sz w:val="22"/>
          <w:szCs w:val="22"/>
        </w:rPr>
        <w:t xml:space="preserve"> to disburse</w:t>
      </w:r>
      <w:r w:rsidRPr="56A5B2ED">
        <w:rPr>
          <w:sz w:val="22"/>
          <w:szCs w:val="22"/>
        </w:rPr>
        <w:t xml:space="preserve"> a greater amount than what is available in the grant. </w:t>
      </w:r>
    </w:p>
    <w:p w14:paraId="57756EF4" w14:textId="77777777" w:rsidR="00BF7A1A" w:rsidRDefault="00BF7A1A" w:rsidP="008D40F4">
      <w:pPr>
        <w:pStyle w:val="Default"/>
        <w:ind w:right="-40"/>
        <w:jc w:val="both"/>
        <w:rPr>
          <w:sz w:val="22"/>
          <w:szCs w:val="22"/>
        </w:rPr>
      </w:pPr>
    </w:p>
    <w:p w14:paraId="69FAF8CB" w14:textId="693CAAE8" w:rsidR="00BB7C4C" w:rsidRPr="0026194B" w:rsidRDefault="00BB7C4C" w:rsidP="008D40F4">
      <w:pPr>
        <w:pStyle w:val="Default"/>
        <w:ind w:right="-40"/>
        <w:jc w:val="both"/>
        <w:rPr>
          <w:b/>
          <w:bCs/>
          <w:sz w:val="22"/>
          <w:szCs w:val="22"/>
        </w:rPr>
      </w:pPr>
      <w:r w:rsidRPr="0026194B">
        <w:rPr>
          <w:sz w:val="22"/>
          <w:szCs w:val="22"/>
        </w:rPr>
        <w:t>The AE should identify and explain any significant variances in the Explanatory Notes</w:t>
      </w:r>
      <w:r w:rsidRPr="0026194B">
        <w:rPr>
          <w:b/>
          <w:bCs/>
          <w:sz w:val="22"/>
          <w:szCs w:val="22"/>
        </w:rPr>
        <w:t>.</w:t>
      </w:r>
    </w:p>
    <w:p w14:paraId="31DA308B" w14:textId="77777777" w:rsidR="00CD4422" w:rsidRPr="0026194B" w:rsidRDefault="00CD4422" w:rsidP="008D40F4">
      <w:pPr>
        <w:jc w:val="both"/>
      </w:pPr>
    </w:p>
    <w:p w14:paraId="1DE43947" w14:textId="046B471C" w:rsidR="00AE333D" w:rsidRDefault="00AE333D" w:rsidP="008D40F4">
      <w:pPr>
        <w:pStyle w:val="Heading4"/>
        <w:jc w:val="both"/>
        <w:rPr>
          <w:rFonts w:ascii="Times New Roman" w:hAnsi="Times New Roman" w:cs="Times New Roman"/>
        </w:rPr>
      </w:pPr>
      <w:r w:rsidRPr="0026194B">
        <w:rPr>
          <w:rFonts w:ascii="Times New Roman" w:hAnsi="Times New Roman" w:cs="Times New Roman"/>
        </w:rPr>
        <w:t xml:space="preserve">Recording disbursements </w:t>
      </w:r>
    </w:p>
    <w:p w14:paraId="529AA128" w14:textId="77777777" w:rsidR="00DF2559" w:rsidRPr="00DF2559" w:rsidRDefault="00DF2559" w:rsidP="008D40F4">
      <w:pPr>
        <w:jc w:val="both"/>
      </w:pPr>
    </w:p>
    <w:p w14:paraId="57760AD8" w14:textId="63C9FAD4" w:rsidR="00AE333D" w:rsidRPr="0026194B" w:rsidRDefault="00AE333D" w:rsidP="008D40F4">
      <w:pPr>
        <w:spacing w:after="160" w:line="259" w:lineRule="auto"/>
        <w:jc w:val="both"/>
        <w:rPr>
          <w:rFonts w:eastAsia="Calibri"/>
          <w:sz w:val="22"/>
          <w:szCs w:val="22"/>
        </w:rPr>
      </w:pPr>
      <w:r w:rsidRPr="0026194B">
        <w:rPr>
          <w:rFonts w:eastAsia="Calibri"/>
          <w:sz w:val="22"/>
          <w:szCs w:val="22"/>
        </w:rPr>
        <w:t xml:space="preserve">The logic of the </w:t>
      </w:r>
      <w:r w:rsidR="00347131" w:rsidRPr="0026194B">
        <w:rPr>
          <w:rFonts w:eastAsia="Calibri"/>
          <w:sz w:val="22"/>
          <w:szCs w:val="22"/>
        </w:rPr>
        <w:t>DFP-cash</w:t>
      </w:r>
      <w:r w:rsidRPr="0026194B">
        <w:rPr>
          <w:rFonts w:eastAsia="Calibri"/>
          <w:sz w:val="22"/>
          <w:szCs w:val="22"/>
        </w:rPr>
        <w:t xml:space="preserve"> is identical to that of </w:t>
      </w:r>
      <w:r w:rsidR="00347131" w:rsidRPr="0026194B">
        <w:rPr>
          <w:rFonts w:eastAsia="Calibri"/>
          <w:sz w:val="22"/>
          <w:szCs w:val="22"/>
        </w:rPr>
        <w:t>DFP-commitments</w:t>
      </w:r>
      <w:r w:rsidRPr="0026194B">
        <w:rPr>
          <w:rFonts w:eastAsia="Calibri"/>
          <w:sz w:val="22"/>
          <w:szCs w:val="22"/>
        </w:rPr>
        <w:t xml:space="preserve">. The only exception is that the </w:t>
      </w:r>
      <w:r w:rsidR="00347131" w:rsidRPr="0026194B">
        <w:rPr>
          <w:rFonts w:eastAsia="Calibri"/>
          <w:sz w:val="22"/>
          <w:szCs w:val="22"/>
        </w:rPr>
        <w:t>DFP-cash</w:t>
      </w:r>
      <w:r w:rsidRPr="0026194B">
        <w:rPr>
          <w:rFonts w:eastAsia="Calibri"/>
          <w:sz w:val="22"/>
          <w:szCs w:val="22"/>
        </w:rPr>
        <w:t xml:space="preserve"> is designed to track cash flows rather than contracts and other commitments. Projected </w:t>
      </w:r>
      <w:r w:rsidR="00140492">
        <w:rPr>
          <w:rFonts w:eastAsia="Calibri"/>
          <w:sz w:val="22"/>
          <w:szCs w:val="22"/>
        </w:rPr>
        <w:t>disbursements</w:t>
      </w:r>
      <w:r w:rsidRPr="0026194B">
        <w:rPr>
          <w:rFonts w:eastAsia="Calibri"/>
          <w:sz w:val="22"/>
          <w:szCs w:val="22"/>
        </w:rPr>
        <w:t xml:space="preserve"> should reflect the deliverable/payment schedules of executed contracts, grants, agreements, other </w:t>
      </w:r>
      <w:proofErr w:type="gramStart"/>
      <w:r w:rsidRPr="0026194B">
        <w:rPr>
          <w:rFonts w:eastAsia="Calibri"/>
          <w:sz w:val="22"/>
          <w:szCs w:val="22"/>
        </w:rPr>
        <w:t>commitments</w:t>
      </w:r>
      <w:proofErr w:type="gramEnd"/>
      <w:r w:rsidRPr="0026194B">
        <w:rPr>
          <w:rFonts w:eastAsia="Calibri"/>
          <w:sz w:val="22"/>
          <w:szCs w:val="22"/>
        </w:rPr>
        <w:t xml:space="preserve"> and recurring costs (such as salaries, utilities, etc.). Particular attention should always be paid to the cash projections for all commitments recorded in DFP</w:t>
      </w:r>
      <w:r w:rsidR="009A53CB">
        <w:rPr>
          <w:rFonts w:eastAsia="Calibri"/>
          <w:sz w:val="22"/>
          <w:szCs w:val="22"/>
        </w:rPr>
        <w:t>-c</w:t>
      </w:r>
      <w:r w:rsidRPr="0026194B">
        <w:rPr>
          <w:rFonts w:eastAsia="Calibri"/>
          <w:sz w:val="22"/>
          <w:szCs w:val="22"/>
        </w:rPr>
        <w:t xml:space="preserve">ommitments. </w:t>
      </w:r>
    </w:p>
    <w:p w14:paraId="668AE732" w14:textId="20705A14" w:rsidR="00AE333D" w:rsidRPr="0026194B" w:rsidRDefault="203D76C4" w:rsidP="008D40F4">
      <w:pPr>
        <w:spacing w:after="160" w:line="259" w:lineRule="auto"/>
        <w:jc w:val="both"/>
        <w:rPr>
          <w:rFonts w:eastAsia="Calibri"/>
          <w:sz w:val="22"/>
          <w:szCs w:val="22"/>
        </w:rPr>
      </w:pPr>
      <w:r w:rsidRPr="0F9B9A23">
        <w:rPr>
          <w:rFonts w:eastAsia="Calibri"/>
          <w:sz w:val="22"/>
          <w:szCs w:val="22"/>
        </w:rPr>
        <w:t>The MCC approved DFP</w:t>
      </w:r>
      <w:r w:rsidR="3F7CB456" w:rsidRPr="0F9B9A23">
        <w:rPr>
          <w:rFonts w:eastAsia="Calibri"/>
          <w:sz w:val="22"/>
          <w:szCs w:val="22"/>
        </w:rPr>
        <w:t>-cash</w:t>
      </w:r>
      <w:r w:rsidR="6F9FE35A" w:rsidRPr="0F9B9A23">
        <w:rPr>
          <w:rFonts w:eastAsia="Calibri"/>
          <w:sz w:val="22"/>
          <w:szCs w:val="22"/>
        </w:rPr>
        <w:t xml:space="preserve"> </w:t>
      </w:r>
      <w:r w:rsidRPr="0F9B9A23">
        <w:rPr>
          <w:rFonts w:eastAsia="Calibri"/>
          <w:sz w:val="22"/>
          <w:szCs w:val="22"/>
        </w:rPr>
        <w:t xml:space="preserve">forms the basis for </w:t>
      </w:r>
      <w:r w:rsidR="5341EC67" w:rsidRPr="0F9B9A23">
        <w:rPr>
          <w:rFonts w:eastAsia="Calibri"/>
          <w:sz w:val="22"/>
          <w:szCs w:val="22"/>
        </w:rPr>
        <w:t xml:space="preserve">the </w:t>
      </w:r>
      <w:r w:rsidR="2289190B" w:rsidRPr="0F9B9A23">
        <w:rPr>
          <w:rFonts w:eastAsia="Calibri"/>
          <w:sz w:val="22"/>
          <w:szCs w:val="22"/>
        </w:rPr>
        <w:t xml:space="preserve">total </w:t>
      </w:r>
      <w:r w:rsidRPr="0F9B9A23">
        <w:rPr>
          <w:rFonts w:eastAsia="Calibri"/>
          <w:sz w:val="22"/>
          <w:szCs w:val="22"/>
        </w:rPr>
        <w:t>AE disbursement authority</w:t>
      </w:r>
      <w:r w:rsidR="5341EC67" w:rsidRPr="0F9B9A23">
        <w:rPr>
          <w:rFonts w:eastAsia="Calibri"/>
          <w:sz w:val="22"/>
          <w:szCs w:val="22"/>
        </w:rPr>
        <w:t>,</w:t>
      </w:r>
      <w:r w:rsidRPr="0F9B9A23">
        <w:rPr>
          <w:rFonts w:eastAsia="Calibri"/>
          <w:sz w:val="22"/>
          <w:szCs w:val="22"/>
        </w:rPr>
        <w:t xml:space="preserve"> by activity</w:t>
      </w:r>
      <w:r w:rsidR="5341EC67" w:rsidRPr="0F9B9A23">
        <w:rPr>
          <w:rFonts w:eastAsia="Calibri"/>
          <w:sz w:val="22"/>
          <w:szCs w:val="22"/>
        </w:rPr>
        <w:t>,</w:t>
      </w:r>
      <w:r w:rsidR="265122BC" w:rsidRPr="0F9B9A23">
        <w:rPr>
          <w:rFonts w:eastAsia="Calibri"/>
          <w:sz w:val="22"/>
          <w:szCs w:val="22"/>
        </w:rPr>
        <w:t xml:space="preserve"> for the quarter</w:t>
      </w:r>
      <w:r w:rsidRPr="0F9B9A23">
        <w:rPr>
          <w:rFonts w:eastAsia="Calibri"/>
          <w:sz w:val="22"/>
          <w:szCs w:val="22"/>
        </w:rPr>
        <w:t xml:space="preserve">. During the disbursement period, payments by the AE from either the permitted accounts or utilizing </w:t>
      </w:r>
      <w:r w:rsidR="019C028F" w:rsidRPr="0F9B9A23">
        <w:rPr>
          <w:rFonts w:eastAsia="Calibri"/>
          <w:sz w:val="22"/>
          <w:szCs w:val="22"/>
        </w:rPr>
        <w:t>the Common Payment System (</w:t>
      </w:r>
      <w:r w:rsidRPr="0F9B9A23">
        <w:rPr>
          <w:rFonts w:eastAsia="Calibri"/>
          <w:sz w:val="22"/>
          <w:szCs w:val="22"/>
        </w:rPr>
        <w:t>CPS</w:t>
      </w:r>
      <w:r w:rsidR="261FDB06" w:rsidRPr="0F9B9A23">
        <w:rPr>
          <w:rFonts w:eastAsia="Calibri"/>
          <w:sz w:val="22"/>
          <w:szCs w:val="22"/>
        </w:rPr>
        <w:t>)</w:t>
      </w:r>
      <w:r w:rsidRPr="0F9B9A23">
        <w:rPr>
          <w:rFonts w:eastAsia="Calibri"/>
          <w:sz w:val="22"/>
          <w:szCs w:val="22"/>
        </w:rPr>
        <w:t xml:space="preserve"> may not exceed these activity-level limits. </w:t>
      </w:r>
    </w:p>
    <w:p w14:paraId="70568547" w14:textId="77777777" w:rsidR="00D844F6" w:rsidRPr="0026194B" w:rsidRDefault="00D844F6" w:rsidP="008D40F4">
      <w:pPr>
        <w:jc w:val="both"/>
        <w:rPr>
          <w:b/>
          <w:bCs/>
          <w:iCs/>
          <w:sz w:val="22"/>
          <w:szCs w:val="22"/>
        </w:rPr>
      </w:pPr>
    </w:p>
    <w:p w14:paraId="33BCF044" w14:textId="773859FB" w:rsidR="00522465" w:rsidRPr="0026194B" w:rsidRDefault="003B4C1E" w:rsidP="008D40F4">
      <w:pPr>
        <w:pStyle w:val="Heading2"/>
        <w:jc w:val="both"/>
        <w:rPr>
          <w:rFonts w:ascii="Times New Roman" w:eastAsia="Calibri" w:hAnsi="Times New Roman" w:cs="Times New Roman"/>
        </w:rPr>
      </w:pPr>
      <w:bookmarkStart w:id="16" w:name="_Toc159578695"/>
      <w:r w:rsidRPr="0026194B">
        <w:rPr>
          <w:rFonts w:ascii="Times New Roman" w:eastAsia="Calibri" w:hAnsi="Times New Roman" w:cs="Times New Roman"/>
        </w:rPr>
        <w:lastRenderedPageBreak/>
        <w:t>Disbursement Request</w:t>
      </w:r>
      <w:r w:rsidR="00C0736D" w:rsidRPr="0026194B">
        <w:rPr>
          <w:rFonts w:ascii="Times New Roman" w:eastAsia="Calibri" w:hAnsi="Times New Roman" w:cs="Times New Roman"/>
        </w:rPr>
        <w:t xml:space="preserve"> and Disbursement Request</w:t>
      </w:r>
      <w:r w:rsidRPr="0026194B">
        <w:rPr>
          <w:rFonts w:ascii="Times New Roman" w:eastAsia="Calibri" w:hAnsi="Times New Roman" w:cs="Times New Roman"/>
        </w:rPr>
        <w:t xml:space="preserve"> Form</w:t>
      </w:r>
      <w:bookmarkEnd w:id="16"/>
    </w:p>
    <w:p w14:paraId="6F70A01C" w14:textId="66946641" w:rsidR="009D5016" w:rsidRPr="0026194B" w:rsidRDefault="00432DED" w:rsidP="008D40F4">
      <w:pPr>
        <w:jc w:val="both"/>
        <w:rPr>
          <w:sz w:val="22"/>
          <w:szCs w:val="22"/>
        </w:rPr>
      </w:pPr>
      <w:r w:rsidRPr="0026194B">
        <w:rPr>
          <w:sz w:val="22"/>
          <w:szCs w:val="22"/>
        </w:rPr>
        <w:t>The amount requested in the Disbursement Request should match the total projected for the</w:t>
      </w:r>
      <w:r w:rsidR="002977DD">
        <w:rPr>
          <w:sz w:val="22"/>
          <w:szCs w:val="22"/>
        </w:rPr>
        <w:t xml:space="preserve"> upcoming quarter</w:t>
      </w:r>
      <w:r w:rsidRPr="0026194B">
        <w:rPr>
          <w:sz w:val="22"/>
          <w:szCs w:val="22"/>
        </w:rPr>
        <w:t xml:space="preserve"> </w:t>
      </w:r>
      <w:r w:rsidR="002977DD">
        <w:rPr>
          <w:sz w:val="22"/>
          <w:szCs w:val="22"/>
        </w:rPr>
        <w:t>(Next Period</w:t>
      </w:r>
      <w:r w:rsidR="2407C2F5" w:rsidRPr="73E77B15">
        <w:rPr>
          <w:sz w:val="22"/>
          <w:szCs w:val="22"/>
        </w:rPr>
        <w:t xml:space="preserve"> – Total Quarter</w:t>
      </w:r>
      <w:r w:rsidR="002977DD">
        <w:rPr>
          <w:sz w:val="22"/>
          <w:szCs w:val="22"/>
        </w:rPr>
        <w:t xml:space="preserve">) </w:t>
      </w:r>
      <w:r w:rsidRPr="0026194B">
        <w:rPr>
          <w:sz w:val="22"/>
          <w:szCs w:val="22"/>
        </w:rPr>
        <w:t xml:space="preserve">in the </w:t>
      </w:r>
      <w:r w:rsidR="00347131" w:rsidRPr="0026194B">
        <w:rPr>
          <w:sz w:val="22"/>
          <w:szCs w:val="22"/>
        </w:rPr>
        <w:t>DFP-cash</w:t>
      </w:r>
      <w:r w:rsidRPr="0026194B">
        <w:rPr>
          <w:sz w:val="22"/>
          <w:szCs w:val="22"/>
        </w:rPr>
        <w:t xml:space="preserve">. </w:t>
      </w:r>
      <w:r w:rsidR="00D15D8D" w:rsidRPr="0026194B">
        <w:rPr>
          <w:sz w:val="22"/>
          <w:szCs w:val="22"/>
        </w:rPr>
        <w:t>All amounts shown on the Disbursement Request Form must be presented in dollars and cents to two decimal places.</w:t>
      </w:r>
    </w:p>
    <w:p w14:paraId="0268493B" w14:textId="77777777" w:rsidR="009D5016" w:rsidRPr="0026194B" w:rsidRDefault="009D5016" w:rsidP="008D40F4">
      <w:pPr>
        <w:jc w:val="both"/>
        <w:rPr>
          <w:sz w:val="22"/>
          <w:szCs w:val="22"/>
        </w:rPr>
      </w:pPr>
    </w:p>
    <w:p w14:paraId="41C892F1" w14:textId="03B2778A" w:rsidR="001862D2" w:rsidRPr="0026194B" w:rsidRDefault="49069C46" w:rsidP="008D40F4">
      <w:pPr>
        <w:jc w:val="both"/>
        <w:rPr>
          <w:sz w:val="22"/>
          <w:szCs w:val="22"/>
        </w:rPr>
      </w:pPr>
      <w:r w:rsidRPr="0F9B9A23">
        <w:rPr>
          <w:sz w:val="22"/>
          <w:szCs w:val="22"/>
        </w:rPr>
        <w:t xml:space="preserve">Once the </w:t>
      </w:r>
      <w:r w:rsidR="312E252B" w:rsidRPr="0F9B9A23">
        <w:rPr>
          <w:sz w:val="22"/>
          <w:szCs w:val="22"/>
        </w:rPr>
        <w:t>DFP-cash</w:t>
      </w:r>
      <w:r w:rsidRPr="0F9B9A23">
        <w:rPr>
          <w:sz w:val="22"/>
          <w:szCs w:val="22"/>
        </w:rPr>
        <w:t xml:space="preserve"> is completed</w:t>
      </w:r>
      <w:r w:rsidR="0F4BC2FA" w:rsidRPr="0F9B9A23">
        <w:rPr>
          <w:sz w:val="22"/>
          <w:szCs w:val="22"/>
        </w:rPr>
        <w:t xml:space="preserve"> in MCC MIS</w:t>
      </w:r>
      <w:r w:rsidRPr="0F9B9A23">
        <w:rPr>
          <w:sz w:val="22"/>
          <w:szCs w:val="22"/>
        </w:rPr>
        <w:t>, t</w:t>
      </w:r>
      <w:r w:rsidR="1A21DC80" w:rsidRPr="0F9B9A23">
        <w:rPr>
          <w:sz w:val="22"/>
          <w:szCs w:val="22"/>
        </w:rPr>
        <w:t xml:space="preserve">he Disbursement Request is automatically populated and </w:t>
      </w:r>
      <w:r w:rsidR="664A9EBA" w:rsidRPr="0F9B9A23">
        <w:rPr>
          <w:sz w:val="22"/>
          <w:szCs w:val="22"/>
        </w:rPr>
        <w:t xml:space="preserve">may </w:t>
      </w:r>
      <w:r w:rsidR="1A21DC80" w:rsidRPr="0F9B9A23">
        <w:rPr>
          <w:sz w:val="22"/>
          <w:szCs w:val="22"/>
        </w:rPr>
        <w:t>be printed from the system for signature.</w:t>
      </w:r>
      <w:r w:rsidR="21BDFB3F" w:rsidRPr="0F9B9A23">
        <w:rPr>
          <w:sz w:val="22"/>
          <w:szCs w:val="22"/>
        </w:rPr>
        <w:t xml:space="preserve"> The AE may otherwise use the </w:t>
      </w:r>
      <w:r w:rsidR="13F508FF" w:rsidRPr="0F9B9A23">
        <w:rPr>
          <w:sz w:val="22"/>
          <w:szCs w:val="22"/>
        </w:rPr>
        <w:t>Disbursement Request Form generated by SAP</w:t>
      </w:r>
      <w:r w:rsidR="21BDFB3F" w:rsidRPr="0F9B9A23">
        <w:rPr>
          <w:sz w:val="22"/>
          <w:szCs w:val="22"/>
        </w:rPr>
        <w:t>.</w:t>
      </w:r>
      <w:r w:rsidR="1A21DC80" w:rsidRPr="0F9B9A23">
        <w:rPr>
          <w:sz w:val="22"/>
          <w:szCs w:val="22"/>
        </w:rPr>
        <w:t xml:space="preserve"> </w:t>
      </w:r>
    </w:p>
    <w:p w14:paraId="66EB80FC" w14:textId="77777777" w:rsidR="001862D2" w:rsidRPr="0026194B" w:rsidRDefault="001862D2" w:rsidP="008D40F4">
      <w:pPr>
        <w:jc w:val="both"/>
        <w:rPr>
          <w:sz w:val="22"/>
          <w:szCs w:val="22"/>
        </w:rPr>
      </w:pPr>
    </w:p>
    <w:p w14:paraId="515E8CC0" w14:textId="343168F6" w:rsidR="009C5325" w:rsidRPr="0026194B" w:rsidRDefault="00522465" w:rsidP="008D40F4">
      <w:pPr>
        <w:jc w:val="both"/>
        <w:rPr>
          <w:sz w:val="22"/>
          <w:szCs w:val="22"/>
        </w:rPr>
      </w:pPr>
      <w:r w:rsidRPr="0026194B">
        <w:rPr>
          <w:sz w:val="22"/>
          <w:szCs w:val="22"/>
        </w:rPr>
        <w:t>The Disbursement Request Form is executed by authorizing signatures from individuals authorized to do so under the grant agreement</w:t>
      </w:r>
      <w:r w:rsidR="007B672D" w:rsidRPr="0026194B">
        <w:rPr>
          <w:rFonts w:eastAsia="Calibri"/>
          <w:sz w:val="22"/>
          <w:szCs w:val="22"/>
        </w:rPr>
        <w:t xml:space="preserve"> to confirm compliance with the relevant agreements and authorization for the funds to be disbursed as planned</w:t>
      </w:r>
      <w:r w:rsidRPr="0026194B">
        <w:rPr>
          <w:sz w:val="22"/>
          <w:szCs w:val="22"/>
        </w:rPr>
        <w:t xml:space="preserve">. </w:t>
      </w:r>
    </w:p>
    <w:p w14:paraId="20829164" w14:textId="77777777" w:rsidR="009C5325" w:rsidRPr="0026194B" w:rsidRDefault="009C5325" w:rsidP="008D40F4">
      <w:pPr>
        <w:jc w:val="both"/>
        <w:rPr>
          <w:sz w:val="22"/>
          <w:szCs w:val="22"/>
        </w:rPr>
      </w:pPr>
    </w:p>
    <w:p w14:paraId="5AE2DA0E" w14:textId="070625C5" w:rsidR="00522465" w:rsidRPr="0026194B" w:rsidRDefault="1A21DC80" w:rsidP="008D40F4">
      <w:pPr>
        <w:jc w:val="both"/>
        <w:rPr>
          <w:rFonts w:eastAsia="Calibri"/>
          <w:sz w:val="22"/>
          <w:szCs w:val="22"/>
        </w:rPr>
      </w:pPr>
      <w:r w:rsidRPr="0F9B9A23">
        <w:rPr>
          <w:sz w:val="22"/>
          <w:szCs w:val="22"/>
        </w:rPr>
        <w:t xml:space="preserve">Note that the dates of the authorizing signatures </w:t>
      </w:r>
      <w:r w:rsidR="0D5C1E09" w:rsidRPr="0F9B9A23">
        <w:rPr>
          <w:sz w:val="22"/>
          <w:szCs w:val="22"/>
        </w:rPr>
        <w:t xml:space="preserve">on the Disbursement Request Form </w:t>
      </w:r>
      <w:r w:rsidRPr="0F9B9A23">
        <w:rPr>
          <w:sz w:val="22"/>
          <w:szCs w:val="22"/>
        </w:rPr>
        <w:t xml:space="preserve">must be the same as or earlier than the date on the Disbursement Request. </w:t>
      </w:r>
      <w:r w:rsidR="0623428A" w:rsidRPr="0F9B9A23">
        <w:rPr>
          <w:sz w:val="22"/>
          <w:szCs w:val="22"/>
        </w:rPr>
        <w:t>T</w:t>
      </w:r>
      <w:r w:rsidRPr="0F9B9A23">
        <w:rPr>
          <w:sz w:val="22"/>
          <w:szCs w:val="22"/>
        </w:rPr>
        <w:t xml:space="preserve">he signed Disbursement Request Form must be </w:t>
      </w:r>
      <w:r w:rsidR="160D9B1E" w:rsidRPr="0F9B9A23">
        <w:rPr>
          <w:sz w:val="22"/>
          <w:szCs w:val="22"/>
        </w:rPr>
        <w:t xml:space="preserve">scanned and </w:t>
      </w:r>
      <w:r w:rsidRPr="0F9B9A23">
        <w:rPr>
          <w:sz w:val="22"/>
          <w:szCs w:val="22"/>
        </w:rPr>
        <w:t xml:space="preserve">submitted with the QDRP </w:t>
      </w:r>
      <w:proofErr w:type="gramStart"/>
      <w:r w:rsidRPr="0F9B9A23">
        <w:rPr>
          <w:sz w:val="22"/>
          <w:szCs w:val="22"/>
        </w:rPr>
        <w:t>in order for</w:t>
      </w:r>
      <w:proofErr w:type="gramEnd"/>
      <w:r w:rsidRPr="0F9B9A23">
        <w:rPr>
          <w:sz w:val="22"/>
          <w:szCs w:val="22"/>
        </w:rPr>
        <w:t xml:space="preserve"> the package to be approved.</w:t>
      </w:r>
    </w:p>
    <w:p w14:paraId="7E5EF97D" w14:textId="77777777" w:rsidR="003B4C1E" w:rsidRPr="0026194B" w:rsidRDefault="003B4C1E" w:rsidP="008D40F4">
      <w:pPr>
        <w:jc w:val="both"/>
        <w:rPr>
          <w:rFonts w:eastAsia="Calibri"/>
          <w:sz w:val="22"/>
          <w:szCs w:val="22"/>
        </w:rPr>
      </w:pPr>
    </w:p>
    <w:p w14:paraId="1C961B8F" w14:textId="4FAD539B" w:rsidR="003B4C1E" w:rsidRPr="0026194B" w:rsidRDefault="003B4C1E" w:rsidP="008D40F4">
      <w:pPr>
        <w:pStyle w:val="Heading2"/>
        <w:jc w:val="both"/>
        <w:rPr>
          <w:rFonts w:ascii="Times New Roman" w:eastAsia="Calibri" w:hAnsi="Times New Roman" w:cs="Times New Roman"/>
        </w:rPr>
      </w:pPr>
      <w:bookmarkStart w:id="17" w:name="_Toc159578696"/>
      <w:r w:rsidRPr="0026194B">
        <w:rPr>
          <w:rFonts w:ascii="Times New Roman" w:eastAsia="Calibri" w:hAnsi="Times New Roman" w:cs="Times New Roman"/>
        </w:rPr>
        <w:t>C</w:t>
      </w:r>
      <w:r w:rsidR="00ED5746">
        <w:rPr>
          <w:rFonts w:ascii="Times New Roman" w:eastAsia="Calibri" w:hAnsi="Times New Roman" w:cs="Times New Roman"/>
        </w:rPr>
        <w:t xml:space="preserve">ontract </w:t>
      </w:r>
      <w:r w:rsidRPr="0026194B">
        <w:rPr>
          <w:rFonts w:ascii="Times New Roman" w:eastAsia="Calibri" w:hAnsi="Times New Roman" w:cs="Times New Roman"/>
        </w:rPr>
        <w:t>D</w:t>
      </w:r>
      <w:r w:rsidR="00ED5746">
        <w:rPr>
          <w:rFonts w:ascii="Times New Roman" w:eastAsia="Calibri" w:hAnsi="Times New Roman" w:cs="Times New Roman"/>
        </w:rPr>
        <w:t xml:space="preserve">etail </w:t>
      </w:r>
      <w:r w:rsidRPr="0026194B">
        <w:rPr>
          <w:rFonts w:ascii="Times New Roman" w:eastAsia="Calibri" w:hAnsi="Times New Roman" w:cs="Times New Roman"/>
        </w:rPr>
        <w:t>R</w:t>
      </w:r>
      <w:r w:rsidR="00ED5746">
        <w:rPr>
          <w:rFonts w:ascii="Times New Roman" w:eastAsia="Calibri" w:hAnsi="Times New Roman" w:cs="Times New Roman"/>
        </w:rPr>
        <w:t>eport</w:t>
      </w:r>
      <w:r w:rsidR="008911AE" w:rsidRPr="0026194B">
        <w:rPr>
          <w:rFonts w:ascii="Times New Roman" w:eastAsia="Calibri" w:hAnsi="Times New Roman" w:cs="Times New Roman"/>
        </w:rPr>
        <w:t>s</w:t>
      </w:r>
      <w:bookmarkEnd w:id="17"/>
    </w:p>
    <w:p w14:paraId="45AC0D33" w14:textId="39A43D40" w:rsidR="003B4C1E" w:rsidRDefault="003B4C1E" w:rsidP="008D40F4">
      <w:pPr>
        <w:jc w:val="both"/>
        <w:rPr>
          <w:sz w:val="22"/>
          <w:szCs w:val="22"/>
        </w:rPr>
      </w:pPr>
    </w:p>
    <w:p w14:paraId="49494093" w14:textId="73D5B3E8" w:rsidR="00134A1B" w:rsidRDefault="00602D46" w:rsidP="008D40F4">
      <w:pPr>
        <w:jc w:val="both"/>
        <w:rPr>
          <w:rFonts w:eastAsia="Calibri"/>
          <w:sz w:val="22"/>
          <w:szCs w:val="22"/>
        </w:rPr>
      </w:pPr>
      <w:r>
        <w:rPr>
          <w:sz w:val="22"/>
          <w:szCs w:val="22"/>
        </w:rPr>
        <w:t xml:space="preserve">The CDRs </w:t>
      </w:r>
      <w:r w:rsidRPr="0026194B">
        <w:rPr>
          <w:rFonts w:eastAsia="Calibri"/>
          <w:sz w:val="22"/>
          <w:szCs w:val="22"/>
        </w:rPr>
        <w:t>follow a similar format to the DFPs but provide more granular detail to explain the figures in the DFPs</w:t>
      </w:r>
      <w:r w:rsidR="00D41FD6">
        <w:rPr>
          <w:rFonts w:eastAsia="Calibri"/>
          <w:sz w:val="22"/>
          <w:szCs w:val="22"/>
        </w:rPr>
        <w:t>. This provide</w:t>
      </w:r>
      <w:r w:rsidR="001C6E43">
        <w:rPr>
          <w:rFonts w:eastAsia="Calibri"/>
          <w:sz w:val="22"/>
          <w:szCs w:val="22"/>
        </w:rPr>
        <w:t>s</w:t>
      </w:r>
      <w:r w:rsidR="00D41FD6">
        <w:rPr>
          <w:rFonts w:eastAsia="Calibri"/>
          <w:sz w:val="22"/>
          <w:szCs w:val="22"/>
        </w:rPr>
        <w:t xml:space="preserve"> additional information </w:t>
      </w:r>
      <w:r w:rsidR="001C6E43">
        <w:rPr>
          <w:rFonts w:eastAsia="Calibri"/>
          <w:sz w:val="22"/>
          <w:szCs w:val="22"/>
        </w:rPr>
        <w:t xml:space="preserve">to help MCC understand </w:t>
      </w:r>
      <w:r w:rsidR="00D41FD6">
        <w:rPr>
          <w:rFonts w:eastAsia="Calibri"/>
          <w:sz w:val="22"/>
          <w:szCs w:val="22"/>
        </w:rPr>
        <w:t>the request,</w:t>
      </w:r>
      <w:r w:rsidRPr="0026194B">
        <w:rPr>
          <w:rFonts w:eastAsia="Calibri"/>
          <w:sz w:val="22"/>
          <w:szCs w:val="22"/>
        </w:rPr>
        <w:t xml:space="preserve"> </w:t>
      </w:r>
      <w:r w:rsidR="00134A1B">
        <w:rPr>
          <w:rFonts w:eastAsia="Calibri"/>
          <w:sz w:val="22"/>
          <w:szCs w:val="22"/>
        </w:rPr>
        <w:t xml:space="preserve">noting that the DFPs typically only go down to </w:t>
      </w:r>
      <w:r w:rsidR="001C6E43">
        <w:rPr>
          <w:rFonts w:eastAsia="Calibri"/>
          <w:sz w:val="22"/>
          <w:szCs w:val="22"/>
        </w:rPr>
        <w:t>the</w:t>
      </w:r>
      <w:r w:rsidR="00134A1B">
        <w:rPr>
          <w:rFonts w:eastAsia="Calibri"/>
          <w:sz w:val="22"/>
          <w:szCs w:val="22"/>
        </w:rPr>
        <w:t xml:space="preserve"> sub-activity level</w:t>
      </w:r>
      <w:r w:rsidRPr="0026194B">
        <w:rPr>
          <w:rFonts w:eastAsia="Calibri"/>
          <w:sz w:val="22"/>
          <w:szCs w:val="22"/>
        </w:rPr>
        <w:t>.</w:t>
      </w:r>
    </w:p>
    <w:p w14:paraId="6CCE9165" w14:textId="3E652500" w:rsidR="00602D46" w:rsidRDefault="00602D46" w:rsidP="008D40F4">
      <w:pPr>
        <w:jc w:val="both"/>
        <w:rPr>
          <w:sz w:val="22"/>
          <w:szCs w:val="22"/>
        </w:rPr>
      </w:pPr>
      <w:r w:rsidRPr="0026194B">
        <w:rPr>
          <w:rFonts w:eastAsia="Calibri"/>
          <w:sz w:val="22"/>
          <w:szCs w:val="22"/>
        </w:rPr>
        <w:t xml:space="preserve"> </w:t>
      </w:r>
      <w:r w:rsidRPr="0026194B">
        <w:rPr>
          <w:sz w:val="22"/>
          <w:szCs w:val="22"/>
        </w:rPr>
        <w:t xml:space="preserve"> </w:t>
      </w:r>
    </w:p>
    <w:p w14:paraId="7DD616EC" w14:textId="77777777" w:rsidR="00D41FD6" w:rsidRDefault="00D41FD6" w:rsidP="008D40F4">
      <w:pPr>
        <w:jc w:val="both"/>
        <w:rPr>
          <w:b/>
          <w:bCs/>
          <w:sz w:val="22"/>
          <w:szCs w:val="22"/>
        </w:rPr>
      </w:pPr>
    </w:p>
    <w:p w14:paraId="7888DEA3" w14:textId="203DCC5F" w:rsidR="0011643B" w:rsidRPr="0026194B" w:rsidRDefault="00E74590" w:rsidP="008D40F4">
      <w:pPr>
        <w:jc w:val="both"/>
        <w:rPr>
          <w:sz w:val="22"/>
          <w:szCs w:val="22"/>
        </w:rPr>
      </w:pPr>
      <w:r w:rsidRPr="0026194B">
        <w:rPr>
          <w:b/>
          <w:bCs/>
          <w:sz w:val="22"/>
          <w:szCs w:val="22"/>
        </w:rPr>
        <w:t>CDRs</w:t>
      </w:r>
      <w:r w:rsidRPr="0026194B">
        <w:rPr>
          <w:sz w:val="22"/>
          <w:szCs w:val="22"/>
        </w:rPr>
        <w:t xml:space="preserve"> </w:t>
      </w:r>
    </w:p>
    <w:p w14:paraId="04811E8F" w14:textId="77777777" w:rsidR="00C865F9" w:rsidRDefault="003B4C1E" w:rsidP="008D40F4">
      <w:pPr>
        <w:jc w:val="both"/>
        <w:rPr>
          <w:sz w:val="22"/>
          <w:szCs w:val="22"/>
        </w:rPr>
      </w:pPr>
      <w:r w:rsidRPr="0026194B">
        <w:rPr>
          <w:sz w:val="22"/>
          <w:szCs w:val="22"/>
        </w:rPr>
        <w:t>The CDRs</w:t>
      </w:r>
      <w:r w:rsidR="003F3669">
        <w:rPr>
          <w:sz w:val="22"/>
          <w:szCs w:val="22"/>
        </w:rPr>
        <w:t xml:space="preserve"> (commitments and cash)</w:t>
      </w:r>
      <w:r w:rsidRPr="0026194B">
        <w:rPr>
          <w:sz w:val="22"/>
          <w:szCs w:val="22"/>
        </w:rPr>
        <w:t xml:space="preserve"> are reports generated from SAP which provide detailed commitment and disbursement information. The reports have been designed to align with the structure of the DFP, but provide information below the sub-activity, including earmarks (i.e. fund reservations), planned procurements (i.e. purchase requisitions), contracts and non-procurement payments. For each of these document types, the commitment and disbursement/actual and forecast data are reported, consistent with the DFPs. </w:t>
      </w:r>
      <w:r w:rsidR="00630CCC" w:rsidRPr="0026194B">
        <w:rPr>
          <w:sz w:val="22"/>
          <w:szCs w:val="22"/>
        </w:rPr>
        <w:t xml:space="preserve">For instructions on generating the CDR, please refer to </w:t>
      </w:r>
      <w:r w:rsidR="002C08A6" w:rsidRPr="0026194B">
        <w:rPr>
          <w:sz w:val="22"/>
          <w:szCs w:val="22"/>
        </w:rPr>
        <w:t xml:space="preserve">the </w:t>
      </w:r>
      <w:r w:rsidR="00396D8C" w:rsidRPr="0026194B">
        <w:rPr>
          <w:sz w:val="22"/>
          <w:szCs w:val="22"/>
        </w:rPr>
        <w:t xml:space="preserve">relevant country’s </w:t>
      </w:r>
      <w:r w:rsidR="002C08A6" w:rsidRPr="0026194B">
        <w:rPr>
          <w:sz w:val="22"/>
          <w:szCs w:val="22"/>
        </w:rPr>
        <w:t xml:space="preserve">SAP Business Process Procedure. </w:t>
      </w:r>
    </w:p>
    <w:p w14:paraId="46938AE6" w14:textId="77777777" w:rsidR="00C865F9" w:rsidRDefault="00C865F9" w:rsidP="008D40F4">
      <w:pPr>
        <w:jc w:val="both"/>
        <w:rPr>
          <w:sz w:val="22"/>
          <w:szCs w:val="22"/>
        </w:rPr>
      </w:pPr>
    </w:p>
    <w:p w14:paraId="7483259B" w14:textId="687E0BB2" w:rsidR="003B4C1E" w:rsidRPr="0026194B" w:rsidRDefault="00FA382F" w:rsidP="008D40F4">
      <w:pPr>
        <w:jc w:val="both"/>
        <w:rPr>
          <w:sz w:val="22"/>
          <w:szCs w:val="22"/>
        </w:rPr>
      </w:pPr>
      <w:r>
        <w:rPr>
          <w:sz w:val="22"/>
          <w:szCs w:val="22"/>
        </w:rPr>
        <w:t xml:space="preserve">CDRs are required for all programs that are using SAP at the time of the QDRP submission. </w:t>
      </w:r>
    </w:p>
    <w:p w14:paraId="1B0A0C90" w14:textId="6B90AEBA" w:rsidR="0011643B" w:rsidRPr="0026194B" w:rsidRDefault="0011643B" w:rsidP="008D40F4">
      <w:pPr>
        <w:jc w:val="both"/>
        <w:rPr>
          <w:sz w:val="22"/>
          <w:szCs w:val="22"/>
        </w:rPr>
      </w:pPr>
    </w:p>
    <w:p w14:paraId="7F57C694" w14:textId="77777777" w:rsidR="00C865F9" w:rsidRPr="00E36D41" w:rsidRDefault="00C865F9" w:rsidP="008D40F4">
      <w:pPr>
        <w:pStyle w:val="Default"/>
        <w:ind w:right="-40"/>
        <w:jc w:val="both"/>
        <w:rPr>
          <w:sz w:val="22"/>
          <w:szCs w:val="22"/>
        </w:rPr>
      </w:pPr>
    </w:p>
    <w:sectPr w:rsidR="00C865F9" w:rsidRPr="00E36D41" w:rsidSect="00E2040C">
      <w:headerReference w:type="even" r:id="rId14"/>
      <w:headerReference w:type="default" r:id="rId15"/>
      <w:footerReference w:type="default" r:id="rId16"/>
      <w:headerReference w:type="first" r:id="rId17"/>
      <w:type w:val="continuous"/>
      <w:pgSz w:w="12240" w:h="15840"/>
      <w:pgMar w:top="1296"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E226" w14:textId="77777777" w:rsidR="0000712A" w:rsidRDefault="0000712A">
      <w:r>
        <w:separator/>
      </w:r>
    </w:p>
  </w:endnote>
  <w:endnote w:type="continuationSeparator" w:id="0">
    <w:p w14:paraId="0E169FCB" w14:textId="77777777" w:rsidR="0000712A" w:rsidRDefault="0000712A">
      <w:r>
        <w:continuationSeparator/>
      </w:r>
    </w:p>
  </w:endnote>
  <w:endnote w:type="continuationNotice" w:id="1">
    <w:p w14:paraId="45B028AC" w14:textId="77777777" w:rsidR="0000712A" w:rsidRDefault="0000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B9A6" w14:textId="397BC9DE" w:rsidR="0093756B" w:rsidRPr="003F0A34" w:rsidRDefault="0093756B" w:rsidP="0002593C">
    <w:pPr>
      <w:pStyle w:val="Header"/>
      <w:tabs>
        <w:tab w:val="clear" w:pos="8640"/>
        <w:tab w:val="right" w:pos="9360"/>
      </w:tabs>
      <w:rPr>
        <w:b/>
        <w:sz w:val="20"/>
        <w:szCs w:val="20"/>
      </w:rPr>
    </w:pPr>
    <w:r w:rsidRPr="003F0A34">
      <w:rPr>
        <w:b/>
        <w:sz w:val="20"/>
        <w:szCs w:val="20"/>
      </w:rPr>
      <w:tab/>
    </w:r>
    <w:r w:rsidRPr="003F0A34">
      <w:rPr>
        <w:b/>
        <w:sz w:val="20"/>
        <w:szCs w:val="20"/>
      </w:rPr>
      <w:tab/>
    </w:r>
    <w:r w:rsidRPr="000B57AA">
      <w:rPr>
        <w:b/>
        <w:sz w:val="20"/>
        <w:szCs w:val="20"/>
      </w:rPr>
      <w:t xml:space="preserve">Page </w:t>
    </w:r>
    <w:r w:rsidRPr="000B57AA">
      <w:rPr>
        <w:b/>
        <w:sz w:val="20"/>
        <w:szCs w:val="20"/>
      </w:rPr>
      <w:fldChar w:fldCharType="begin"/>
    </w:r>
    <w:r w:rsidRPr="000B57AA">
      <w:rPr>
        <w:b/>
        <w:sz w:val="20"/>
        <w:szCs w:val="20"/>
      </w:rPr>
      <w:instrText xml:space="preserve"> PAGE </w:instrText>
    </w:r>
    <w:r w:rsidRPr="000B57AA">
      <w:rPr>
        <w:b/>
        <w:sz w:val="20"/>
        <w:szCs w:val="20"/>
      </w:rPr>
      <w:fldChar w:fldCharType="separate"/>
    </w:r>
    <w:r w:rsidR="002937F7">
      <w:rPr>
        <w:b/>
        <w:noProof/>
        <w:sz w:val="20"/>
        <w:szCs w:val="20"/>
      </w:rPr>
      <w:t>5</w:t>
    </w:r>
    <w:r w:rsidRPr="000B57AA">
      <w:rPr>
        <w:b/>
        <w:sz w:val="20"/>
        <w:szCs w:val="20"/>
      </w:rPr>
      <w:fldChar w:fldCharType="end"/>
    </w:r>
    <w:r w:rsidRPr="000B57AA">
      <w:rPr>
        <w:b/>
        <w:sz w:val="20"/>
        <w:szCs w:val="20"/>
      </w:rPr>
      <w:t xml:space="preserve"> of </w:t>
    </w:r>
    <w:r w:rsidRPr="000B57AA">
      <w:rPr>
        <w:b/>
        <w:sz w:val="20"/>
        <w:szCs w:val="20"/>
      </w:rPr>
      <w:fldChar w:fldCharType="begin"/>
    </w:r>
    <w:r w:rsidRPr="000B57AA">
      <w:rPr>
        <w:b/>
        <w:sz w:val="20"/>
        <w:szCs w:val="20"/>
      </w:rPr>
      <w:instrText xml:space="preserve"> NUMPAGES </w:instrText>
    </w:r>
    <w:r w:rsidRPr="000B57AA">
      <w:rPr>
        <w:b/>
        <w:sz w:val="20"/>
        <w:szCs w:val="20"/>
      </w:rPr>
      <w:fldChar w:fldCharType="separate"/>
    </w:r>
    <w:r w:rsidR="002937F7">
      <w:rPr>
        <w:b/>
        <w:noProof/>
        <w:sz w:val="20"/>
        <w:szCs w:val="20"/>
      </w:rPr>
      <w:t>7</w:t>
    </w:r>
    <w:r w:rsidRPr="000B57A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40F9" w14:textId="77777777" w:rsidR="0000712A" w:rsidRDefault="0000712A">
      <w:r>
        <w:separator/>
      </w:r>
    </w:p>
  </w:footnote>
  <w:footnote w:type="continuationSeparator" w:id="0">
    <w:p w14:paraId="61B98BB7" w14:textId="77777777" w:rsidR="0000712A" w:rsidRDefault="0000712A">
      <w:r>
        <w:continuationSeparator/>
      </w:r>
    </w:p>
  </w:footnote>
  <w:footnote w:type="continuationNotice" w:id="1">
    <w:p w14:paraId="5E322F0C" w14:textId="77777777" w:rsidR="0000712A" w:rsidRDefault="0000712A"/>
  </w:footnote>
  <w:footnote w:id="2">
    <w:p w14:paraId="4E596EDD" w14:textId="57C88231" w:rsidR="00762855" w:rsidRDefault="00762855">
      <w:pPr>
        <w:pStyle w:val="FootnoteText"/>
      </w:pPr>
      <w:r>
        <w:rPr>
          <w:rStyle w:val="FootnoteReference"/>
        </w:rPr>
        <w:footnoteRef/>
      </w:r>
      <w:r>
        <w:t xml:space="preserve"> Any skipped quarters will display in the Prior Submissions section of MCC MIS with a status of “Skipped.”  </w:t>
      </w:r>
    </w:p>
  </w:footnote>
  <w:footnote w:id="3">
    <w:p w14:paraId="7F0F03FA" w14:textId="60ED99AD" w:rsidR="003E7E73" w:rsidRDefault="003E7E73" w:rsidP="003E7E73">
      <w:pPr>
        <w:pStyle w:val="FootnoteText"/>
      </w:pPr>
      <w:r>
        <w:rPr>
          <w:rStyle w:val="FootnoteReference"/>
        </w:rPr>
        <w:footnoteRef/>
      </w:r>
      <w:r>
        <w:t xml:space="preserve"> </w:t>
      </w:r>
      <w:r w:rsidR="00056129" w:rsidRPr="009171A1">
        <w:t>Schedule B, the Summary of MYFP Adjustments to Date, provides a historical log of all the previously approved changes to the MYFP, by project and activity</w:t>
      </w:r>
      <w:r w:rsidR="009171A1">
        <w:t>.</w:t>
      </w:r>
      <w:r w:rsidR="00056129" w:rsidRPr="00056129">
        <w:t xml:space="preserve"> </w:t>
      </w:r>
      <w:r w:rsidRPr="00056129">
        <w:t xml:space="preserve">Note that Schedule B is automatically </w:t>
      </w:r>
      <w:r w:rsidR="00C31DFE" w:rsidRPr="00056129">
        <w:t xml:space="preserve">generated </w:t>
      </w:r>
      <w:r w:rsidRPr="00056129">
        <w:t xml:space="preserve">in MCC MIS </w:t>
      </w:r>
      <w:r w:rsidR="00487478" w:rsidRPr="00056129">
        <w:t xml:space="preserve">as part of the QDRP Export Package report </w:t>
      </w:r>
      <w:r w:rsidRPr="00056129">
        <w:t>and does not have to</w:t>
      </w:r>
      <w:r>
        <w:t xml:space="preserve"> be submitted as part of the QFR. </w:t>
      </w:r>
    </w:p>
  </w:footnote>
  <w:footnote w:id="4">
    <w:p w14:paraId="48846329" w14:textId="0E9BCD5F" w:rsidR="0071282D" w:rsidRDefault="0071282D" w:rsidP="0071282D">
      <w:pPr>
        <w:pStyle w:val="FootnoteText"/>
      </w:pPr>
      <w:r>
        <w:rPr>
          <w:rStyle w:val="FootnoteReference"/>
        </w:rPr>
        <w:footnoteRef/>
      </w:r>
      <w:r>
        <w:t xml:space="preserve"> For additional information on running and reviewing this report, please </w:t>
      </w:r>
      <w:r w:rsidRPr="00F27DAA">
        <w:t>see Chapter 5 in</w:t>
      </w:r>
      <w:r>
        <w:t xml:space="preserve"> the MCC MIS User Guide. </w:t>
      </w:r>
    </w:p>
  </w:footnote>
  <w:footnote w:id="5">
    <w:p w14:paraId="67405547" w14:textId="62F440F0" w:rsidR="0011598A" w:rsidRPr="001809D4" w:rsidRDefault="0011598A">
      <w:pPr>
        <w:pStyle w:val="FootnoteText"/>
      </w:pPr>
      <w:r>
        <w:rPr>
          <w:rStyle w:val="FootnoteReference"/>
        </w:rPr>
        <w:footnoteRef/>
      </w:r>
      <w:r>
        <w:t xml:space="preserve"> </w:t>
      </w:r>
      <w:r w:rsidR="00F53E82" w:rsidRPr="001809D4">
        <w:t xml:space="preserve">Systems, Applications </w:t>
      </w:r>
      <w:r w:rsidR="00815A15" w:rsidRPr="001809D4">
        <w:t xml:space="preserve">and </w:t>
      </w:r>
      <w:r w:rsidR="00F53E82" w:rsidRPr="001809D4">
        <w:t>Products in Data Processing</w:t>
      </w:r>
      <w:r w:rsidR="00D227AE" w:rsidRPr="001809D4">
        <w:t xml:space="preserve"> (SAP)</w:t>
      </w:r>
      <w:r w:rsidR="00CD7181" w:rsidRPr="001809D4">
        <w:t xml:space="preserve"> </w:t>
      </w:r>
      <w:r w:rsidR="00F53E82" w:rsidRPr="001809D4">
        <w:t xml:space="preserve">is the standard technological solution employed </w:t>
      </w:r>
      <w:r w:rsidR="0061292A" w:rsidRPr="001809D4">
        <w:t>in</w:t>
      </w:r>
      <w:r w:rsidR="00F53E82" w:rsidRPr="001809D4">
        <w:t xml:space="preserve"> compact</w:t>
      </w:r>
      <w:r w:rsidR="0061292A" w:rsidRPr="001809D4">
        <w:t xml:space="preserve"> </w:t>
      </w:r>
      <w:r w:rsidR="00F53E82" w:rsidRPr="001809D4">
        <w:t>program</w:t>
      </w:r>
      <w:r w:rsidR="0061292A" w:rsidRPr="001809D4">
        <w:t>s</w:t>
      </w:r>
      <w:r w:rsidR="003B0222" w:rsidRPr="001809D4">
        <w:t>.</w:t>
      </w:r>
      <w:r w:rsidR="00F53E82" w:rsidRPr="001809D4">
        <w:t xml:space="preserve"> AE</w:t>
      </w:r>
      <w:r w:rsidR="00815A15" w:rsidRPr="001809D4">
        <w:t>s</w:t>
      </w:r>
      <w:r w:rsidR="003B0222" w:rsidRPr="001809D4">
        <w:t xml:space="preserve"> use this</w:t>
      </w:r>
      <w:r w:rsidR="00F53E82" w:rsidRPr="001809D4">
        <w:t xml:space="preserve"> </w:t>
      </w:r>
      <w:r w:rsidR="003B0222" w:rsidRPr="001809D4">
        <w:t xml:space="preserve">fully integrated system </w:t>
      </w:r>
      <w:r w:rsidR="00815A15" w:rsidRPr="001809D4">
        <w:t xml:space="preserve">to manage </w:t>
      </w:r>
      <w:r w:rsidR="003B0222" w:rsidRPr="001809D4">
        <w:t>financial and procurement data a</w:t>
      </w:r>
      <w:r w:rsidR="00815A15" w:rsidRPr="001809D4">
        <w:t>nd</w:t>
      </w:r>
      <w:r w:rsidR="003B0222" w:rsidRPr="001809D4">
        <w:t xml:space="preserve"> to</w:t>
      </w:r>
      <w:r w:rsidR="00815A15" w:rsidRPr="001809D4">
        <w:t xml:space="preserve"> generate reports. </w:t>
      </w:r>
    </w:p>
  </w:footnote>
  <w:footnote w:id="6">
    <w:p w14:paraId="0742CF42" w14:textId="77777777" w:rsidR="001809D4" w:rsidRPr="00452C2B" w:rsidRDefault="001809D4" w:rsidP="00513139">
      <w:pPr>
        <w:pStyle w:val="Default"/>
        <w:ind w:right="-40"/>
        <w:jc w:val="both"/>
        <w:rPr>
          <w:color w:val="auto"/>
          <w:sz w:val="20"/>
          <w:szCs w:val="20"/>
        </w:rPr>
      </w:pPr>
      <w:r w:rsidRPr="00513139">
        <w:rPr>
          <w:rStyle w:val="FootnoteReference"/>
          <w:sz w:val="20"/>
          <w:szCs w:val="20"/>
        </w:rPr>
        <w:footnoteRef/>
      </w:r>
      <w:r w:rsidRPr="00513139">
        <w:rPr>
          <w:sz w:val="20"/>
          <w:szCs w:val="20"/>
        </w:rPr>
        <w:t xml:space="preserve"> </w:t>
      </w:r>
      <w:r w:rsidRPr="00513139">
        <w:rPr>
          <w:color w:val="auto"/>
          <w:sz w:val="20"/>
          <w:szCs w:val="20"/>
        </w:rPr>
        <w:t>Note: the amount should equal the reported amount in the Monthly Commitment and Disbursement Report (MCDR) for the last month of the prior quarter.</w:t>
      </w:r>
    </w:p>
    <w:p w14:paraId="59D7DDD9" w14:textId="2915DA0A" w:rsidR="001809D4" w:rsidRDefault="001809D4">
      <w:pPr>
        <w:pStyle w:val="FootnoteText"/>
      </w:pPr>
    </w:p>
  </w:footnote>
  <w:footnote w:id="7">
    <w:p w14:paraId="4CC0CECB" w14:textId="77777777" w:rsidR="00BC01C0" w:rsidRDefault="00BC01C0" w:rsidP="00BC01C0">
      <w:pPr>
        <w:pStyle w:val="FootnoteText"/>
      </w:pPr>
      <w:r>
        <w:rPr>
          <w:rStyle w:val="FootnoteReference"/>
        </w:rPr>
        <w:footnoteRef/>
      </w:r>
      <w:r>
        <w:t xml:space="preserve"> It is important to note that while forecasted commitments can exceed the multi-year financial plan as currently approved, signaling the necessity of a budget adjustment, actual commitments can never exceed currently approved multi-year financial plan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D90C" w14:textId="0C890F19" w:rsidR="002E507D" w:rsidRDefault="002E507D">
    <w:pPr>
      <w:pStyle w:val="Header"/>
    </w:pPr>
    <w:r>
      <w:rPr>
        <w:noProof/>
      </w:rPr>
      <mc:AlternateContent>
        <mc:Choice Requires="wps">
          <w:drawing>
            <wp:anchor distT="0" distB="0" distL="0" distR="0" simplePos="0" relativeHeight="251658241" behindDoc="0" locked="0" layoutInCell="1" allowOverlap="1" wp14:anchorId="0114E629" wp14:editId="6EE613DB">
              <wp:simplePos x="635" y="635"/>
              <wp:positionH relativeFrom="page">
                <wp:align>center</wp:align>
              </wp:positionH>
              <wp:positionV relativeFrom="page">
                <wp:align>top</wp:align>
              </wp:positionV>
              <wp:extent cx="443865" cy="443865"/>
              <wp:effectExtent l="0" t="0" r="0" b="9525"/>
              <wp:wrapNone/>
              <wp:docPr id="4"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2CFC85" w14:textId="02E0388C" w:rsidR="002E507D" w:rsidRPr="002E507D" w:rsidRDefault="002E507D" w:rsidP="002E507D">
                          <w:pPr>
                            <w:rPr>
                              <w:rFonts w:ascii="Calibri" w:eastAsia="Calibri" w:hAnsi="Calibri" w:cs="Calibri"/>
                              <w:noProof/>
                              <w:color w:val="008000"/>
                            </w:rPr>
                          </w:pPr>
                          <w:r w:rsidRPr="002E507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14E629" id="_x0000_t202" coordsize="21600,21600" o:spt="202" path="m,l,21600r21600,l21600,xe">
              <v:stroke joinstyle="miter"/>
              <v:path gradientshapeok="t" o:connecttype="rect"/>
            </v:shapetype>
            <v:shape id="Text Box 4" o:spid="_x0000_s1026" type="#_x0000_t202" alt="UNCLASSIFIED"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22CFC85" w14:textId="02E0388C" w:rsidR="002E507D" w:rsidRPr="002E507D" w:rsidRDefault="002E507D" w:rsidP="002E507D">
                    <w:pPr>
                      <w:rPr>
                        <w:rFonts w:ascii="Calibri" w:eastAsia="Calibri" w:hAnsi="Calibri" w:cs="Calibri"/>
                        <w:noProof/>
                        <w:color w:val="008000"/>
                      </w:rPr>
                    </w:pPr>
                    <w:r w:rsidRPr="002E507D">
                      <w:rPr>
                        <w:rFonts w:ascii="Calibri" w:eastAsia="Calibri" w:hAnsi="Calibri" w:cs="Calibri"/>
                        <w:noProof/>
                        <w:color w:val="008000"/>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292C" w14:textId="2BC53A30" w:rsidR="00690203" w:rsidRPr="00690203" w:rsidRDefault="002E507D">
    <w:pPr>
      <w:pStyle w:val="Header"/>
      <w:rPr>
        <w:sz w:val="20"/>
        <w:szCs w:val="20"/>
      </w:rPr>
    </w:pPr>
    <w:r>
      <w:rPr>
        <w:b/>
        <w:noProof/>
        <w:sz w:val="20"/>
        <w:szCs w:val="20"/>
      </w:rPr>
      <mc:AlternateContent>
        <mc:Choice Requires="wps">
          <w:drawing>
            <wp:anchor distT="0" distB="0" distL="0" distR="0" simplePos="0" relativeHeight="251658242" behindDoc="0" locked="0" layoutInCell="1" allowOverlap="1" wp14:anchorId="0D43001D" wp14:editId="64E02683">
              <wp:simplePos x="635" y="635"/>
              <wp:positionH relativeFrom="page">
                <wp:align>center</wp:align>
              </wp:positionH>
              <wp:positionV relativeFrom="page">
                <wp:align>top</wp:align>
              </wp:positionV>
              <wp:extent cx="443865" cy="443865"/>
              <wp:effectExtent l="0" t="0" r="0" b="9525"/>
              <wp:wrapNone/>
              <wp:docPr id="5"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71B47D" w14:textId="032606D1" w:rsidR="002E507D" w:rsidRPr="002E507D" w:rsidRDefault="002E507D" w:rsidP="002E507D">
                          <w:pPr>
                            <w:rPr>
                              <w:rFonts w:ascii="Calibri" w:eastAsia="Calibri" w:hAnsi="Calibri" w:cs="Calibri"/>
                              <w:noProof/>
                              <w:color w:val="008000"/>
                            </w:rPr>
                          </w:pPr>
                          <w:r w:rsidRPr="002E507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43001D" id="_x0000_t202" coordsize="21600,21600" o:spt="202" path="m,l,21600r21600,l21600,xe">
              <v:stroke joinstyle="miter"/>
              <v:path gradientshapeok="t" o:connecttype="rect"/>
            </v:shapetype>
            <v:shape id="Text Box 5" o:spid="_x0000_s1027" type="#_x0000_t202" alt="UNCLASSIFIED"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671B47D" w14:textId="032606D1" w:rsidR="002E507D" w:rsidRPr="002E507D" w:rsidRDefault="002E507D" w:rsidP="002E507D">
                    <w:pPr>
                      <w:rPr>
                        <w:rFonts w:ascii="Calibri" w:eastAsia="Calibri" w:hAnsi="Calibri" w:cs="Calibri"/>
                        <w:noProof/>
                        <w:color w:val="008000"/>
                      </w:rPr>
                    </w:pPr>
                    <w:r w:rsidRPr="002E507D">
                      <w:rPr>
                        <w:rFonts w:ascii="Calibri" w:eastAsia="Calibri" w:hAnsi="Calibri" w:cs="Calibri"/>
                        <w:noProof/>
                        <w:color w:val="008000"/>
                      </w:rPr>
                      <w:t>UNCLASSIFIED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B0AA" w14:textId="27CABF5A" w:rsidR="002E507D" w:rsidRDefault="002E507D">
    <w:pPr>
      <w:pStyle w:val="Header"/>
    </w:pPr>
    <w:r>
      <w:rPr>
        <w:noProof/>
      </w:rPr>
      <mc:AlternateContent>
        <mc:Choice Requires="wps">
          <w:drawing>
            <wp:anchor distT="0" distB="0" distL="0" distR="0" simplePos="0" relativeHeight="251658240" behindDoc="0" locked="0" layoutInCell="1" allowOverlap="1" wp14:anchorId="281B97F8" wp14:editId="0C703EC1">
              <wp:simplePos x="635" y="635"/>
              <wp:positionH relativeFrom="page">
                <wp:align>center</wp:align>
              </wp:positionH>
              <wp:positionV relativeFrom="page">
                <wp:align>top</wp:align>
              </wp:positionV>
              <wp:extent cx="443865" cy="443865"/>
              <wp:effectExtent l="0" t="0" r="0" b="9525"/>
              <wp:wrapNone/>
              <wp:docPr id="3" name="Text Box 3"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09886F" w14:textId="3AC4013C" w:rsidR="002E507D" w:rsidRPr="002E507D" w:rsidRDefault="002E507D" w:rsidP="002E507D">
                          <w:pPr>
                            <w:rPr>
                              <w:rFonts w:ascii="Calibri" w:eastAsia="Calibri" w:hAnsi="Calibri" w:cs="Calibri"/>
                              <w:noProof/>
                              <w:color w:val="008000"/>
                            </w:rPr>
                          </w:pPr>
                          <w:r w:rsidRPr="002E507D">
                            <w:rPr>
                              <w:rFonts w:ascii="Calibri" w:eastAsia="Calibri" w:hAnsi="Calibri" w:cs="Calibri"/>
                              <w:noProof/>
                              <w:color w:val="008000"/>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1B97F8" id="_x0000_t202" coordsize="21600,21600" o:spt="202" path="m,l,21600r21600,l21600,xe">
              <v:stroke joinstyle="miter"/>
              <v:path gradientshapeok="t" o:connecttype="rect"/>
            </v:shapetype>
            <v:shape id="Text Box 3" o:spid="_x0000_s1028" type="#_x0000_t202" alt="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A09886F" w14:textId="3AC4013C" w:rsidR="002E507D" w:rsidRPr="002E507D" w:rsidRDefault="002E507D" w:rsidP="002E507D">
                    <w:pPr>
                      <w:rPr>
                        <w:rFonts w:ascii="Calibri" w:eastAsia="Calibri" w:hAnsi="Calibri" w:cs="Calibri"/>
                        <w:noProof/>
                        <w:color w:val="008000"/>
                      </w:rPr>
                    </w:pPr>
                    <w:r w:rsidRPr="002E507D">
                      <w:rPr>
                        <w:rFonts w:ascii="Calibri" w:eastAsia="Calibri" w:hAnsi="Calibri" w:cs="Calibri"/>
                        <w:noProof/>
                        <w:color w:val="008000"/>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AE3E3E"/>
    <w:multiLevelType w:val="hybridMultilevel"/>
    <w:tmpl w:val="398C67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E0E05"/>
    <w:multiLevelType w:val="hybridMultilevel"/>
    <w:tmpl w:val="FF32C5E6"/>
    <w:lvl w:ilvl="0" w:tplc="E5D84F0A">
      <w:start w:val="1"/>
      <w:numFmt w:val="bullet"/>
      <w:lvlText w:val="-"/>
      <w:lvlJc w:val="left"/>
      <w:pPr>
        <w:tabs>
          <w:tab w:val="num" w:pos="720"/>
        </w:tabs>
        <w:ind w:left="720" w:hanging="360"/>
      </w:pPr>
      <w:rPr>
        <w:rFonts w:ascii="Book Antiqua" w:eastAsia="Times New Roman" w:hAnsi="Book Antiqua"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CA610E"/>
    <w:multiLevelType w:val="hybridMultilevel"/>
    <w:tmpl w:val="4BFA2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536D1F"/>
    <w:multiLevelType w:val="hybridMultilevel"/>
    <w:tmpl w:val="3F203EC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F27AEB"/>
    <w:multiLevelType w:val="hybridMultilevel"/>
    <w:tmpl w:val="964C7C14"/>
    <w:lvl w:ilvl="0" w:tplc="05C24894">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F77FA"/>
    <w:multiLevelType w:val="hybridMultilevel"/>
    <w:tmpl w:val="103E80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F61412"/>
    <w:multiLevelType w:val="hybridMultilevel"/>
    <w:tmpl w:val="01B4D7B4"/>
    <w:lvl w:ilvl="0" w:tplc="D26027F4">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F3D3D"/>
    <w:multiLevelType w:val="hybridMultilevel"/>
    <w:tmpl w:val="A1FCB782"/>
    <w:lvl w:ilvl="0" w:tplc="7EBEE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3777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7F0081A"/>
    <w:multiLevelType w:val="multilevel"/>
    <w:tmpl w:val="0CBA8C76"/>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8BE598A"/>
    <w:multiLevelType w:val="hybridMultilevel"/>
    <w:tmpl w:val="795659F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E751DFC"/>
    <w:multiLevelType w:val="hybridMultilevel"/>
    <w:tmpl w:val="A748DDC2"/>
    <w:lvl w:ilvl="0" w:tplc="05C248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50291"/>
    <w:multiLevelType w:val="hybridMultilevel"/>
    <w:tmpl w:val="F9909094"/>
    <w:lvl w:ilvl="0" w:tplc="CC3ED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31512"/>
    <w:multiLevelType w:val="multilevel"/>
    <w:tmpl w:val="F7564B66"/>
    <w:lvl w:ilvl="0">
      <w:start w:val="3"/>
      <w:numFmt w:val="decimal"/>
      <w:lvlText w:val="%1"/>
      <w:lvlJc w:val="left"/>
      <w:pPr>
        <w:ind w:left="880" w:hanging="880"/>
      </w:pPr>
      <w:rPr>
        <w:rFonts w:hint="default"/>
      </w:rPr>
    </w:lvl>
    <w:lvl w:ilvl="1">
      <w:start w:val="3"/>
      <w:numFmt w:val="decimal"/>
      <w:lvlText w:val="%1.%2"/>
      <w:lvlJc w:val="left"/>
      <w:pPr>
        <w:ind w:left="1960" w:hanging="880"/>
      </w:pPr>
      <w:rPr>
        <w:rFonts w:hint="default"/>
      </w:rPr>
    </w:lvl>
    <w:lvl w:ilvl="2">
      <w:start w:val="3"/>
      <w:numFmt w:val="decimal"/>
      <w:lvlText w:val="%1.%2.%3"/>
      <w:lvlJc w:val="left"/>
      <w:pPr>
        <w:ind w:left="3040" w:hanging="880"/>
      </w:pPr>
      <w:rPr>
        <w:rFonts w:hint="default"/>
      </w:rPr>
    </w:lvl>
    <w:lvl w:ilvl="3">
      <w:start w:val="2"/>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5D46361"/>
    <w:multiLevelType w:val="multilevel"/>
    <w:tmpl w:val="7A28D76C"/>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279B2C28"/>
    <w:multiLevelType w:val="hybridMultilevel"/>
    <w:tmpl w:val="66146434"/>
    <w:lvl w:ilvl="0" w:tplc="E5D84F0A">
      <w:start w:val="1"/>
      <w:numFmt w:val="bullet"/>
      <w:lvlText w:val="-"/>
      <w:lvlJc w:val="left"/>
      <w:pPr>
        <w:tabs>
          <w:tab w:val="num" w:pos="360"/>
        </w:tabs>
        <w:ind w:left="360" w:hanging="360"/>
      </w:pPr>
      <w:rPr>
        <w:rFonts w:ascii="Book Antiqua" w:eastAsia="Times New Roman" w:hAnsi="Book Antiqu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2728A4"/>
    <w:multiLevelType w:val="hybridMultilevel"/>
    <w:tmpl w:val="C3FC4B0A"/>
    <w:lvl w:ilvl="0" w:tplc="168C4EC2">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448E9"/>
    <w:multiLevelType w:val="hybridMultilevel"/>
    <w:tmpl w:val="CFF44B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1443C36"/>
    <w:multiLevelType w:val="multilevel"/>
    <w:tmpl w:val="62027F90"/>
    <w:lvl w:ilvl="0">
      <w:start w:val="3"/>
      <w:numFmt w:val="decimal"/>
      <w:lvlText w:val="%1"/>
      <w:lvlJc w:val="left"/>
      <w:pPr>
        <w:ind w:left="430" w:hanging="4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9E4AA5"/>
    <w:multiLevelType w:val="hybridMultilevel"/>
    <w:tmpl w:val="7B68CE4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C11F77"/>
    <w:multiLevelType w:val="hybridMultilevel"/>
    <w:tmpl w:val="BA0E2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D84191"/>
    <w:multiLevelType w:val="multilevel"/>
    <w:tmpl w:val="4ED6002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0912EEB"/>
    <w:multiLevelType w:val="hybridMultilevel"/>
    <w:tmpl w:val="6FEC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A3E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2B73D8"/>
    <w:multiLevelType w:val="multilevel"/>
    <w:tmpl w:val="62027F90"/>
    <w:lvl w:ilvl="0">
      <w:start w:val="3"/>
      <w:numFmt w:val="decimal"/>
      <w:lvlText w:val="%1"/>
      <w:lvlJc w:val="left"/>
      <w:pPr>
        <w:ind w:left="430" w:hanging="4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ED07BE"/>
    <w:multiLevelType w:val="hybridMultilevel"/>
    <w:tmpl w:val="6C30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22C0A"/>
    <w:multiLevelType w:val="hybridMultilevel"/>
    <w:tmpl w:val="6DA60D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FF1A14"/>
    <w:multiLevelType w:val="multilevel"/>
    <w:tmpl w:val="7A28D76C"/>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47E01BBC"/>
    <w:multiLevelType w:val="multilevel"/>
    <w:tmpl w:val="62027F90"/>
    <w:lvl w:ilvl="0">
      <w:start w:val="3"/>
      <w:numFmt w:val="decimal"/>
      <w:lvlText w:val="%1"/>
      <w:lvlJc w:val="left"/>
      <w:pPr>
        <w:ind w:left="430" w:hanging="4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01634AE"/>
    <w:multiLevelType w:val="hybridMultilevel"/>
    <w:tmpl w:val="7E2E40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24A1542"/>
    <w:multiLevelType w:val="multilevel"/>
    <w:tmpl w:val="7A28D76C"/>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53E07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B24E77"/>
    <w:multiLevelType w:val="hybridMultilevel"/>
    <w:tmpl w:val="F9909094"/>
    <w:lvl w:ilvl="0" w:tplc="CC3ED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033CE"/>
    <w:multiLevelType w:val="hybridMultilevel"/>
    <w:tmpl w:val="3DE84918"/>
    <w:lvl w:ilvl="0" w:tplc="04090015">
      <w:start w:val="1"/>
      <w:numFmt w:val="upperLetter"/>
      <w:lvlText w:val="%1."/>
      <w:lvlJc w:val="left"/>
      <w:pPr>
        <w:ind w:left="720" w:hanging="360"/>
      </w:pPr>
      <w:rPr>
        <w:rFonts w:hint="default"/>
      </w:rPr>
    </w:lvl>
    <w:lvl w:ilvl="1" w:tplc="9BCEAFD0">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050FA"/>
    <w:multiLevelType w:val="hybridMultilevel"/>
    <w:tmpl w:val="F9909094"/>
    <w:lvl w:ilvl="0" w:tplc="CC3ED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773FA"/>
    <w:multiLevelType w:val="hybridMultilevel"/>
    <w:tmpl w:val="9752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F7D6D"/>
    <w:multiLevelType w:val="multilevel"/>
    <w:tmpl w:val="0BE6D380"/>
    <w:lvl w:ilvl="0">
      <w:start w:val="3"/>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71A649E3"/>
    <w:multiLevelType w:val="hybridMultilevel"/>
    <w:tmpl w:val="3E26C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653A2"/>
    <w:multiLevelType w:val="hybridMultilevel"/>
    <w:tmpl w:val="773CC4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3FC6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A92956"/>
    <w:multiLevelType w:val="multilevel"/>
    <w:tmpl w:val="EB9C7DB6"/>
    <w:lvl w:ilvl="0">
      <w:start w:val="3"/>
      <w:numFmt w:val="decimal"/>
      <w:lvlText w:val="%1"/>
      <w:lvlJc w:val="left"/>
      <w:pPr>
        <w:ind w:left="640" w:hanging="640"/>
      </w:pPr>
      <w:rPr>
        <w:rFonts w:hint="default"/>
      </w:rPr>
    </w:lvl>
    <w:lvl w:ilvl="1">
      <w:start w:val="3"/>
      <w:numFmt w:val="decimal"/>
      <w:lvlText w:val="%1.%2"/>
      <w:lvlJc w:val="left"/>
      <w:pPr>
        <w:ind w:left="1800" w:hanging="72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7EFF55FF"/>
    <w:multiLevelType w:val="hybridMultilevel"/>
    <w:tmpl w:val="4088224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E5D84F0A">
      <w:start w:val="1"/>
      <w:numFmt w:val="bullet"/>
      <w:lvlText w:val="-"/>
      <w:lvlJc w:val="left"/>
      <w:pPr>
        <w:tabs>
          <w:tab w:val="num" w:pos="1980"/>
        </w:tabs>
        <w:ind w:left="1980" w:hanging="360"/>
      </w:pPr>
      <w:rPr>
        <w:rFonts w:ascii="Book Antiqua" w:eastAsia="Times New Roman" w:hAnsi="Book Antiqua"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719481589">
    <w:abstractNumId w:val="0"/>
  </w:num>
  <w:num w:numId="2" w16cid:durableId="1395161173">
    <w:abstractNumId w:val="1"/>
  </w:num>
  <w:num w:numId="3" w16cid:durableId="130371286">
    <w:abstractNumId w:val="41"/>
  </w:num>
  <w:num w:numId="4" w16cid:durableId="13459583">
    <w:abstractNumId w:val="15"/>
  </w:num>
  <w:num w:numId="5" w16cid:durableId="1299844146">
    <w:abstractNumId w:val="37"/>
  </w:num>
  <w:num w:numId="6" w16cid:durableId="1298533504">
    <w:abstractNumId w:val="11"/>
  </w:num>
  <w:num w:numId="7" w16cid:durableId="1915623685">
    <w:abstractNumId w:val="35"/>
  </w:num>
  <w:num w:numId="8" w16cid:durableId="1103451135">
    <w:abstractNumId w:val="32"/>
  </w:num>
  <w:num w:numId="9" w16cid:durableId="13658734">
    <w:abstractNumId w:val="6"/>
  </w:num>
  <w:num w:numId="10" w16cid:durableId="1431924407">
    <w:abstractNumId w:val="4"/>
  </w:num>
  <w:num w:numId="11" w16cid:durableId="705715705">
    <w:abstractNumId w:val="10"/>
  </w:num>
  <w:num w:numId="12" w16cid:durableId="487285191">
    <w:abstractNumId w:val="3"/>
  </w:num>
  <w:num w:numId="13" w16cid:durableId="1980769664">
    <w:abstractNumId w:val="20"/>
  </w:num>
  <w:num w:numId="14" w16cid:durableId="1975020442">
    <w:abstractNumId w:val="2"/>
  </w:num>
  <w:num w:numId="15" w16cid:durableId="369039134">
    <w:abstractNumId w:val="19"/>
  </w:num>
  <w:num w:numId="16" w16cid:durableId="50160067">
    <w:abstractNumId w:val="25"/>
  </w:num>
  <w:num w:numId="17" w16cid:durableId="713046043">
    <w:abstractNumId w:val="12"/>
  </w:num>
  <w:num w:numId="18" w16cid:durableId="1473644230">
    <w:abstractNumId w:val="33"/>
  </w:num>
  <w:num w:numId="19" w16cid:durableId="1377046792">
    <w:abstractNumId w:val="7"/>
  </w:num>
  <w:num w:numId="20" w16cid:durableId="1519351164">
    <w:abstractNumId w:val="34"/>
  </w:num>
  <w:num w:numId="21" w16cid:durableId="1887719377">
    <w:abstractNumId w:val="16"/>
  </w:num>
  <w:num w:numId="22" w16cid:durableId="1850170839">
    <w:abstractNumId w:val="29"/>
  </w:num>
  <w:num w:numId="23" w16cid:durableId="1423919016">
    <w:abstractNumId w:val="5"/>
  </w:num>
  <w:num w:numId="24" w16cid:durableId="1486094595">
    <w:abstractNumId w:val="17"/>
  </w:num>
  <w:num w:numId="25" w16cid:durableId="194316572">
    <w:abstractNumId w:val="26"/>
  </w:num>
  <w:num w:numId="26" w16cid:durableId="1371104683">
    <w:abstractNumId w:val="18"/>
  </w:num>
  <w:num w:numId="27" w16cid:durableId="778062401">
    <w:abstractNumId w:val="21"/>
  </w:num>
  <w:num w:numId="28" w16cid:durableId="245726625">
    <w:abstractNumId w:val="30"/>
  </w:num>
  <w:num w:numId="29" w16cid:durableId="1489052902">
    <w:abstractNumId w:val="27"/>
  </w:num>
  <w:num w:numId="30" w16cid:durableId="1576361040">
    <w:abstractNumId w:val="14"/>
  </w:num>
  <w:num w:numId="31" w16cid:durableId="4678036">
    <w:abstractNumId w:val="28"/>
  </w:num>
  <w:num w:numId="32" w16cid:durableId="250504225">
    <w:abstractNumId w:val="24"/>
  </w:num>
  <w:num w:numId="33" w16cid:durableId="548759831">
    <w:abstractNumId w:val="22"/>
  </w:num>
  <w:num w:numId="34" w16cid:durableId="11615963">
    <w:abstractNumId w:val="9"/>
  </w:num>
  <w:num w:numId="35" w16cid:durableId="1218128346">
    <w:abstractNumId w:val="8"/>
  </w:num>
  <w:num w:numId="36" w16cid:durableId="1856311179">
    <w:abstractNumId w:val="36"/>
  </w:num>
  <w:num w:numId="37" w16cid:durableId="1408309095">
    <w:abstractNumId w:val="31"/>
  </w:num>
  <w:num w:numId="38" w16cid:durableId="1667249665">
    <w:abstractNumId w:val="39"/>
  </w:num>
  <w:num w:numId="39" w16cid:durableId="633409763">
    <w:abstractNumId w:val="23"/>
  </w:num>
  <w:num w:numId="40" w16cid:durableId="795410705">
    <w:abstractNumId w:val="40"/>
  </w:num>
  <w:num w:numId="41" w16cid:durableId="481702082">
    <w:abstractNumId w:val="13"/>
  </w:num>
  <w:num w:numId="42" w16cid:durableId="1997104051">
    <w:abstractNumId w:val="8"/>
  </w:num>
  <w:num w:numId="43" w16cid:durableId="412942720">
    <w:abstractNumId w:val="8"/>
    <w:lvlOverride w:ilvl="0">
      <w:startOverride w:val="1"/>
    </w:lvlOverride>
  </w:num>
  <w:num w:numId="44" w16cid:durableId="332420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6957346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C6"/>
    <w:rsid w:val="00000A02"/>
    <w:rsid w:val="00000FAD"/>
    <w:rsid w:val="00001B01"/>
    <w:rsid w:val="00002CD5"/>
    <w:rsid w:val="00002D27"/>
    <w:rsid w:val="00003BAE"/>
    <w:rsid w:val="0000712A"/>
    <w:rsid w:val="00007EFA"/>
    <w:rsid w:val="00010ABF"/>
    <w:rsid w:val="00011470"/>
    <w:rsid w:val="00011EAF"/>
    <w:rsid w:val="00012DFC"/>
    <w:rsid w:val="00013777"/>
    <w:rsid w:val="00013E0B"/>
    <w:rsid w:val="00014910"/>
    <w:rsid w:val="00015366"/>
    <w:rsid w:val="00015708"/>
    <w:rsid w:val="00016B19"/>
    <w:rsid w:val="00016C9C"/>
    <w:rsid w:val="00017082"/>
    <w:rsid w:val="000173DE"/>
    <w:rsid w:val="00017505"/>
    <w:rsid w:val="0002009F"/>
    <w:rsid w:val="00020B84"/>
    <w:rsid w:val="00020D82"/>
    <w:rsid w:val="00021B3F"/>
    <w:rsid w:val="00021CAF"/>
    <w:rsid w:val="00023287"/>
    <w:rsid w:val="0002385F"/>
    <w:rsid w:val="000241FC"/>
    <w:rsid w:val="0002593C"/>
    <w:rsid w:val="00026374"/>
    <w:rsid w:val="000304B1"/>
    <w:rsid w:val="00031668"/>
    <w:rsid w:val="00031739"/>
    <w:rsid w:val="0003277A"/>
    <w:rsid w:val="000328A3"/>
    <w:rsid w:val="00033A60"/>
    <w:rsid w:val="000352CB"/>
    <w:rsid w:val="0003567C"/>
    <w:rsid w:val="0003573B"/>
    <w:rsid w:val="00036005"/>
    <w:rsid w:val="0003716C"/>
    <w:rsid w:val="0003759E"/>
    <w:rsid w:val="00046F13"/>
    <w:rsid w:val="00050BD0"/>
    <w:rsid w:val="00051153"/>
    <w:rsid w:val="00051293"/>
    <w:rsid w:val="00052198"/>
    <w:rsid w:val="0005562D"/>
    <w:rsid w:val="00055FAF"/>
    <w:rsid w:val="00056129"/>
    <w:rsid w:val="00056325"/>
    <w:rsid w:val="00056439"/>
    <w:rsid w:val="00056B99"/>
    <w:rsid w:val="00056E76"/>
    <w:rsid w:val="00057103"/>
    <w:rsid w:val="00060DD3"/>
    <w:rsid w:val="00060F9D"/>
    <w:rsid w:val="00062611"/>
    <w:rsid w:val="00063779"/>
    <w:rsid w:val="00063E99"/>
    <w:rsid w:val="000646FA"/>
    <w:rsid w:val="00066A57"/>
    <w:rsid w:val="00067D0A"/>
    <w:rsid w:val="00071D45"/>
    <w:rsid w:val="00072346"/>
    <w:rsid w:val="00074C9C"/>
    <w:rsid w:val="0007596A"/>
    <w:rsid w:val="000759CA"/>
    <w:rsid w:val="00075C2C"/>
    <w:rsid w:val="000767A0"/>
    <w:rsid w:val="00076A6A"/>
    <w:rsid w:val="00077019"/>
    <w:rsid w:val="00077506"/>
    <w:rsid w:val="00080113"/>
    <w:rsid w:val="00080A2C"/>
    <w:rsid w:val="00084202"/>
    <w:rsid w:val="0008446A"/>
    <w:rsid w:val="000855E5"/>
    <w:rsid w:val="00086097"/>
    <w:rsid w:val="00086F11"/>
    <w:rsid w:val="00087D7B"/>
    <w:rsid w:val="00090005"/>
    <w:rsid w:val="00092CE8"/>
    <w:rsid w:val="00093471"/>
    <w:rsid w:val="00095915"/>
    <w:rsid w:val="00096BC9"/>
    <w:rsid w:val="00096F05"/>
    <w:rsid w:val="000A0428"/>
    <w:rsid w:val="000A096F"/>
    <w:rsid w:val="000A32E6"/>
    <w:rsid w:val="000A33B4"/>
    <w:rsid w:val="000A3A41"/>
    <w:rsid w:val="000A59D6"/>
    <w:rsid w:val="000A65FD"/>
    <w:rsid w:val="000B1520"/>
    <w:rsid w:val="000B57AA"/>
    <w:rsid w:val="000B6257"/>
    <w:rsid w:val="000B7608"/>
    <w:rsid w:val="000C304B"/>
    <w:rsid w:val="000C3190"/>
    <w:rsid w:val="000C3EB2"/>
    <w:rsid w:val="000C5781"/>
    <w:rsid w:val="000C57E1"/>
    <w:rsid w:val="000C6A5C"/>
    <w:rsid w:val="000C7470"/>
    <w:rsid w:val="000C7CDA"/>
    <w:rsid w:val="000D0519"/>
    <w:rsid w:val="000D182A"/>
    <w:rsid w:val="000D3845"/>
    <w:rsid w:val="000D4519"/>
    <w:rsid w:val="000D52F1"/>
    <w:rsid w:val="000E0795"/>
    <w:rsid w:val="000E159B"/>
    <w:rsid w:val="000E32C0"/>
    <w:rsid w:val="000E374D"/>
    <w:rsid w:val="000E3D72"/>
    <w:rsid w:val="000E4659"/>
    <w:rsid w:val="000E47F4"/>
    <w:rsid w:val="000E51BB"/>
    <w:rsid w:val="000E5F7C"/>
    <w:rsid w:val="000E6C91"/>
    <w:rsid w:val="000F0282"/>
    <w:rsid w:val="000F0952"/>
    <w:rsid w:val="000F33ED"/>
    <w:rsid w:val="000F4004"/>
    <w:rsid w:val="000F4436"/>
    <w:rsid w:val="000F5A1A"/>
    <w:rsid w:val="00100D22"/>
    <w:rsid w:val="00100F47"/>
    <w:rsid w:val="00101EEB"/>
    <w:rsid w:val="001034CA"/>
    <w:rsid w:val="001034D9"/>
    <w:rsid w:val="00110BE3"/>
    <w:rsid w:val="00110CD0"/>
    <w:rsid w:val="00110CEB"/>
    <w:rsid w:val="00111914"/>
    <w:rsid w:val="00112B39"/>
    <w:rsid w:val="00112B40"/>
    <w:rsid w:val="00113464"/>
    <w:rsid w:val="0011598A"/>
    <w:rsid w:val="00115D2A"/>
    <w:rsid w:val="0011643B"/>
    <w:rsid w:val="00116E9E"/>
    <w:rsid w:val="00117005"/>
    <w:rsid w:val="001171B7"/>
    <w:rsid w:val="00120183"/>
    <w:rsid w:val="0012157F"/>
    <w:rsid w:val="00121EBC"/>
    <w:rsid w:val="00122C9C"/>
    <w:rsid w:val="001235E7"/>
    <w:rsid w:val="00123BA2"/>
    <w:rsid w:val="001242D6"/>
    <w:rsid w:val="0012584F"/>
    <w:rsid w:val="0012585B"/>
    <w:rsid w:val="00126365"/>
    <w:rsid w:val="001269D5"/>
    <w:rsid w:val="001271D1"/>
    <w:rsid w:val="00130B53"/>
    <w:rsid w:val="00131012"/>
    <w:rsid w:val="0013135E"/>
    <w:rsid w:val="00131F92"/>
    <w:rsid w:val="0013415A"/>
    <w:rsid w:val="0013445D"/>
    <w:rsid w:val="00134A1B"/>
    <w:rsid w:val="00137B9E"/>
    <w:rsid w:val="00140253"/>
    <w:rsid w:val="00140492"/>
    <w:rsid w:val="00140F30"/>
    <w:rsid w:val="001444FE"/>
    <w:rsid w:val="001455E2"/>
    <w:rsid w:val="00153AE9"/>
    <w:rsid w:val="0015697C"/>
    <w:rsid w:val="00156D5B"/>
    <w:rsid w:val="0015724F"/>
    <w:rsid w:val="00157810"/>
    <w:rsid w:val="00157C0C"/>
    <w:rsid w:val="00160A26"/>
    <w:rsid w:val="00160C9F"/>
    <w:rsid w:val="00161B29"/>
    <w:rsid w:val="00161CB9"/>
    <w:rsid w:val="00161D2D"/>
    <w:rsid w:val="00162DAA"/>
    <w:rsid w:val="00163118"/>
    <w:rsid w:val="00163BF2"/>
    <w:rsid w:val="00164F31"/>
    <w:rsid w:val="0016572E"/>
    <w:rsid w:val="00165731"/>
    <w:rsid w:val="00165D30"/>
    <w:rsid w:val="001664CA"/>
    <w:rsid w:val="00166CAA"/>
    <w:rsid w:val="001708CA"/>
    <w:rsid w:val="00170FA2"/>
    <w:rsid w:val="001743A2"/>
    <w:rsid w:val="00174D67"/>
    <w:rsid w:val="0017607C"/>
    <w:rsid w:val="001771E6"/>
    <w:rsid w:val="00177788"/>
    <w:rsid w:val="001801C3"/>
    <w:rsid w:val="001802C9"/>
    <w:rsid w:val="001809D4"/>
    <w:rsid w:val="0018275B"/>
    <w:rsid w:val="00182871"/>
    <w:rsid w:val="001833D1"/>
    <w:rsid w:val="00183CB1"/>
    <w:rsid w:val="00184C26"/>
    <w:rsid w:val="0018568B"/>
    <w:rsid w:val="001862D2"/>
    <w:rsid w:val="00187068"/>
    <w:rsid w:val="00187BF2"/>
    <w:rsid w:val="00187C81"/>
    <w:rsid w:val="00190283"/>
    <w:rsid w:val="00190423"/>
    <w:rsid w:val="00191814"/>
    <w:rsid w:val="00191B45"/>
    <w:rsid w:val="00193045"/>
    <w:rsid w:val="00194499"/>
    <w:rsid w:val="00195019"/>
    <w:rsid w:val="001A0197"/>
    <w:rsid w:val="001A0C85"/>
    <w:rsid w:val="001A14F7"/>
    <w:rsid w:val="001A17E3"/>
    <w:rsid w:val="001A24A6"/>
    <w:rsid w:val="001A343A"/>
    <w:rsid w:val="001A3947"/>
    <w:rsid w:val="001A449D"/>
    <w:rsid w:val="001A6199"/>
    <w:rsid w:val="001A6845"/>
    <w:rsid w:val="001A6E12"/>
    <w:rsid w:val="001B0C13"/>
    <w:rsid w:val="001B2067"/>
    <w:rsid w:val="001B240C"/>
    <w:rsid w:val="001B245D"/>
    <w:rsid w:val="001B508D"/>
    <w:rsid w:val="001B5788"/>
    <w:rsid w:val="001B7020"/>
    <w:rsid w:val="001B7D66"/>
    <w:rsid w:val="001C0E36"/>
    <w:rsid w:val="001C2821"/>
    <w:rsid w:val="001C6E43"/>
    <w:rsid w:val="001C7463"/>
    <w:rsid w:val="001D1145"/>
    <w:rsid w:val="001D3504"/>
    <w:rsid w:val="001D495A"/>
    <w:rsid w:val="001D4ACB"/>
    <w:rsid w:val="001E001D"/>
    <w:rsid w:val="001E0B95"/>
    <w:rsid w:val="001E1139"/>
    <w:rsid w:val="001E1498"/>
    <w:rsid w:val="001E1509"/>
    <w:rsid w:val="001E7685"/>
    <w:rsid w:val="001E7886"/>
    <w:rsid w:val="001F1D17"/>
    <w:rsid w:val="001F408F"/>
    <w:rsid w:val="001F4E08"/>
    <w:rsid w:val="001F711B"/>
    <w:rsid w:val="001F7495"/>
    <w:rsid w:val="001F7D8E"/>
    <w:rsid w:val="00200CA9"/>
    <w:rsid w:val="00202EBD"/>
    <w:rsid w:val="0020376E"/>
    <w:rsid w:val="002038ED"/>
    <w:rsid w:val="00203F21"/>
    <w:rsid w:val="0020423D"/>
    <w:rsid w:val="002045A0"/>
    <w:rsid w:val="00204749"/>
    <w:rsid w:val="002050DE"/>
    <w:rsid w:val="00205E49"/>
    <w:rsid w:val="002078AD"/>
    <w:rsid w:val="002100B7"/>
    <w:rsid w:val="00210AB3"/>
    <w:rsid w:val="00213504"/>
    <w:rsid w:val="00214D56"/>
    <w:rsid w:val="002166C7"/>
    <w:rsid w:val="002172BF"/>
    <w:rsid w:val="002174B3"/>
    <w:rsid w:val="00221619"/>
    <w:rsid w:val="002218C1"/>
    <w:rsid w:val="00221C2B"/>
    <w:rsid w:val="002221F6"/>
    <w:rsid w:val="00222E4E"/>
    <w:rsid w:val="002241ED"/>
    <w:rsid w:val="00225368"/>
    <w:rsid w:val="0022539D"/>
    <w:rsid w:val="002262E6"/>
    <w:rsid w:val="00227375"/>
    <w:rsid w:val="002274E1"/>
    <w:rsid w:val="0023026D"/>
    <w:rsid w:val="00230BF6"/>
    <w:rsid w:val="00233A7E"/>
    <w:rsid w:val="0023544E"/>
    <w:rsid w:val="00235EF2"/>
    <w:rsid w:val="00236134"/>
    <w:rsid w:val="0023769C"/>
    <w:rsid w:val="00237C89"/>
    <w:rsid w:val="00237D32"/>
    <w:rsid w:val="00237EBA"/>
    <w:rsid w:val="00240BC6"/>
    <w:rsid w:val="00240D30"/>
    <w:rsid w:val="00242468"/>
    <w:rsid w:val="002430CC"/>
    <w:rsid w:val="00244973"/>
    <w:rsid w:val="0024626F"/>
    <w:rsid w:val="00246DD3"/>
    <w:rsid w:val="00247F6C"/>
    <w:rsid w:val="00250B14"/>
    <w:rsid w:val="00250DAD"/>
    <w:rsid w:val="00251F8E"/>
    <w:rsid w:val="00253F39"/>
    <w:rsid w:val="00253FF6"/>
    <w:rsid w:val="00254BE2"/>
    <w:rsid w:val="00254DCB"/>
    <w:rsid w:val="002553E0"/>
    <w:rsid w:val="00255CA7"/>
    <w:rsid w:val="002571C1"/>
    <w:rsid w:val="0026194B"/>
    <w:rsid w:val="00264DE2"/>
    <w:rsid w:val="0026538D"/>
    <w:rsid w:val="002656F6"/>
    <w:rsid w:val="002661F4"/>
    <w:rsid w:val="0026690B"/>
    <w:rsid w:val="002675E8"/>
    <w:rsid w:val="00270CA9"/>
    <w:rsid w:val="0027175D"/>
    <w:rsid w:val="00271F37"/>
    <w:rsid w:val="00272FDB"/>
    <w:rsid w:val="00273980"/>
    <w:rsid w:val="00273CE0"/>
    <w:rsid w:val="00275E0C"/>
    <w:rsid w:val="00277187"/>
    <w:rsid w:val="00277ED5"/>
    <w:rsid w:val="00281518"/>
    <w:rsid w:val="00281816"/>
    <w:rsid w:val="00283B3E"/>
    <w:rsid w:val="002847C3"/>
    <w:rsid w:val="002854F0"/>
    <w:rsid w:val="002860BB"/>
    <w:rsid w:val="002866D6"/>
    <w:rsid w:val="0028795D"/>
    <w:rsid w:val="00287FBA"/>
    <w:rsid w:val="002904D1"/>
    <w:rsid w:val="002917B7"/>
    <w:rsid w:val="00292C84"/>
    <w:rsid w:val="002937F7"/>
    <w:rsid w:val="002940FD"/>
    <w:rsid w:val="0029604E"/>
    <w:rsid w:val="0029611D"/>
    <w:rsid w:val="00296139"/>
    <w:rsid w:val="0029615A"/>
    <w:rsid w:val="002977DD"/>
    <w:rsid w:val="002A0779"/>
    <w:rsid w:val="002A10D5"/>
    <w:rsid w:val="002A3B3E"/>
    <w:rsid w:val="002A48E5"/>
    <w:rsid w:val="002A6867"/>
    <w:rsid w:val="002A7137"/>
    <w:rsid w:val="002B16F4"/>
    <w:rsid w:val="002B271E"/>
    <w:rsid w:val="002B40FC"/>
    <w:rsid w:val="002B4C66"/>
    <w:rsid w:val="002B4C7C"/>
    <w:rsid w:val="002B4E24"/>
    <w:rsid w:val="002B510A"/>
    <w:rsid w:val="002B53DE"/>
    <w:rsid w:val="002B53F2"/>
    <w:rsid w:val="002B5E2F"/>
    <w:rsid w:val="002B649A"/>
    <w:rsid w:val="002B67E7"/>
    <w:rsid w:val="002B6D48"/>
    <w:rsid w:val="002B6D9A"/>
    <w:rsid w:val="002B7796"/>
    <w:rsid w:val="002C08A6"/>
    <w:rsid w:val="002C1E61"/>
    <w:rsid w:val="002C2104"/>
    <w:rsid w:val="002C25F6"/>
    <w:rsid w:val="002C2F1F"/>
    <w:rsid w:val="002C3D11"/>
    <w:rsid w:val="002C47C8"/>
    <w:rsid w:val="002C49AC"/>
    <w:rsid w:val="002C69E3"/>
    <w:rsid w:val="002C7320"/>
    <w:rsid w:val="002D1459"/>
    <w:rsid w:val="002D188B"/>
    <w:rsid w:val="002D32C9"/>
    <w:rsid w:val="002D5738"/>
    <w:rsid w:val="002D57AE"/>
    <w:rsid w:val="002D5BE9"/>
    <w:rsid w:val="002D6567"/>
    <w:rsid w:val="002D7D7B"/>
    <w:rsid w:val="002D7FC1"/>
    <w:rsid w:val="002E0D28"/>
    <w:rsid w:val="002E1571"/>
    <w:rsid w:val="002E44BD"/>
    <w:rsid w:val="002E4611"/>
    <w:rsid w:val="002E507D"/>
    <w:rsid w:val="002E5476"/>
    <w:rsid w:val="002E565F"/>
    <w:rsid w:val="002E574C"/>
    <w:rsid w:val="002E5EF9"/>
    <w:rsid w:val="002E6566"/>
    <w:rsid w:val="002E725C"/>
    <w:rsid w:val="002E7E3B"/>
    <w:rsid w:val="002ED105"/>
    <w:rsid w:val="002F0F94"/>
    <w:rsid w:val="002F26ED"/>
    <w:rsid w:val="002F3D79"/>
    <w:rsid w:val="002F55E5"/>
    <w:rsid w:val="002F588E"/>
    <w:rsid w:val="002F6B39"/>
    <w:rsid w:val="002F6F91"/>
    <w:rsid w:val="00302B40"/>
    <w:rsid w:val="00302E74"/>
    <w:rsid w:val="003044B6"/>
    <w:rsid w:val="003059AF"/>
    <w:rsid w:val="00307A3C"/>
    <w:rsid w:val="00311861"/>
    <w:rsid w:val="00311C87"/>
    <w:rsid w:val="00314210"/>
    <w:rsid w:val="00315782"/>
    <w:rsid w:val="00315CA5"/>
    <w:rsid w:val="00320FB0"/>
    <w:rsid w:val="00321183"/>
    <w:rsid w:val="00321552"/>
    <w:rsid w:val="00321E53"/>
    <w:rsid w:val="00322A55"/>
    <w:rsid w:val="00322D84"/>
    <w:rsid w:val="00324958"/>
    <w:rsid w:val="00325DA4"/>
    <w:rsid w:val="003267F0"/>
    <w:rsid w:val="00326B29"/>
    <w:rsid w:val="003271D4"/>
    <w:rsid w:val="00332127"/>
    <w:rsid w:val="0033221C"/>
    <w:rsid w:val="0033671C"/>
    <w:rsid w:val="00336DA0"/>
    <w:rsid w:val="00337156"/>
    <w:rsid w:val="003375EF"/>
    <w:rsid w:val="00340890"/>
    <w:rsid w:val="003412B6"/>
    <w:rsid w:val="003420D1"/>
    <w:rsid w:val="00344C1E"/>
    <w:rsid w:val="0034621D"/>
    <w:rsid w:val="00346A02"/>
    <w:rsid w:val="00347131"/>
    <w:rsid w:val="00347787"/>
    <w:rsid w:val="003507B3"/>
    <w:rsid w:val="003520D4"/>
    <w:rsid w:val="00353C2A"/>
    <w:rsid w:val="00353D48"/>
    <w:rsid w:val="003540FF"/>
    <w:rsid w:val="00354ED0"/>
    <w:rsid w:val="00355B03"/>
    <w:rsid w:val="003569F4"/>
    <w:rsid w:val="00360D10"/>
    <w:rsid w:val="003610FC"/>
    <w:rsid w:val="003616E2"/>
    <w:rsid w:val="00363CDE"/>
    <w:rsid w:val="003659E4"/>
    <w:rsid w:val="0036620D"/>
    <w:rsid w:val="0036784A"/>
    <w:rsid w:val="0037187C"/>
    <w:rsid w:val="00374358"/>
    <w:rsid w:val="0037472F"/>
    <w:rsid w:val="003761CC"/>
    <w:rsid w:val="003803A3"/>
    <w:rsid w:val="003807B7"/>
    <w:rsid w:val="003808B8"/>
    <w:rsid w:val="00381028"/>
    <w:rsid w:val="00381321"/>
    <w:rsid w:val="00381AB5"/>
    <w:rsid w:val="00382398"/>
    <w:rsid w:val="0038300B"/>
    <w:rsid w:val="003832E5"/>
    <w:rsid w:val="003837BE"/>
    <w:rsid w:val="00386230"/>
    <w:rsid w:val="0038765C"/>
    <w:rsid w:val="00391DE9"/>
    <w:rsid w:val="003924A7"/>
    <w:rsid w:val="00393DD1"/>
    <w:rsid w:val="003957C2"/>
    <w:rsid w:val="0039585F"/>
    <w:rsid w:val="00395D64"/>
    <w:rsid w:val="00396D8C"/>
    <w:rsid w:val="00396F02"/>
    <w:rsid w:val="0039761E"/>
    <w:rsid w:val="003A133F"/>
    <w:rsid w:val="003A19F2"/>
    <w:rsid w:val="003A1EB2"/>
    <w:rsid w:val="003A1F9D"/>
    <w:rsid w:val="003A2A58"/>
    <w:rsid w:val="003A3F2F"/>
    <w:rsid w:val="003A51BE"/>
    <w:rsid w:val="003A6A5F"/>
    <w:rsid w:val="003A6D53"/>
    <w:rsid w:val="003A7AB6"/>
    <w:rsid w:val="003B0222"/>
    <w:rsid w:val="003B0BB7"/>
    <w:rsid w:val="003B173C"/>
    <w:rsid w:val="003B181F"/>
    <w:rsid w:val="003B2371"/>
    <w:rsid w:val="003B2AEA"/>
    <w:rsid w:val="003B2E7C"/>
    <w:rsid w:val="003B4553"/>
    <w:rsid w:val="003B4C1E"/>
    <w:rsid w:val="003B4D0A"/>
    <w:rsid w:val="003B53E9"/>
    <w:rsid w:val="003B541C"/>
    <w:rsid w:val="003B5B25"/>
    <w:rsid w:val="003B664C"/>
    <w:rsid w:val="003C0588"/>
    <w:rsid w:val="003C0C67"/>
    <w:rsid w:val="003C23BA"/>
    <w:rsid w:val="003C32C3"/>
    <w:rsid w:val="003C380C"/>
    <w:rsid w:val="003C3A2D"/>
    <w:rsid w:val="003C3F2F"/>
    <w:rsid w:val="003C5B7F"/>
    <w:rsid w:val="003C7417"/>
    <w:rsid w:val="003C7740"/>
    <w:rsid w:val="003D1476"/>
    <w:rsid w:val="003D1BF4"/>
    <w:rsid w:val="003D22C0"/>
    <w:rsid w:val="003D2C14"/>
    <w:rsid w:val="003D556F"/>
    <w:rsid w:val="003D61F0"/>
    <w:rsid w:val="003D632F"/>
    <w:rsid w:val="003E1035"/>
    <w:rsid w:val="003E14D7"/>
    <w:rsid w:val="003E1575"/>
    <w:rsid w:val="003E317B"/>
    <w:rsid w:val="003E3414"/>
    <w:rsid w:val="003E6006"/>
    <w:rsid w:val="003E70D9"/>
    <w:rsid w:val="003E7B15"/>
    <w:rsid w:val="003E7E73"/>
    <w:rsid w:val="003F0193"/>
    <w:rsid w:val="003F0A34"/>
    <w:rsid w:val="003F23D3"/>
    <w:rsid w:val="003F3669"/>
    <w:rsid w:val="003F3DCA"/>
    <w:rsid w:val="003F5604"/>
    <w:rsid w:val="003F7204"/>
    <w:rsid w:val="003F76CF"/>
    <w:rsid w:val="0040017B"/>
    <w:rsid w:val="0040054B"/>
    <w:rsid w:val="00401073"/>
    <w:rsid w:val="004026B7"/>
    <w:rsid w:val="00403AF0"/>
    <w:rsid w:val="00403C16"/>
    <w:rsid w:val="00405410"/>
    <w:rsid w:val="00405EFF"/>
    <w:rsid w:val="00406C13"/>
    <w:rsid w:val="004075DA"/>
    <w:rsid w:val="004113DE"/>
    <w:rsid w:val="00411CB3"/>
    <w:rsid w:val="00413405"/>
    <w:rsid w:val="00413DD2"/>
    <w:rsid w:val="00414F05"/>
    <w:rsid w:val="00414F1E"/>
    <w:rsid w:val="004160E5"/>
    <w:rsid w:val="00417052"/>
    <w:rsid w:val="004173FA"/>
    <w:rsid w:val="004208AE"/>
    <w:rsid w:val="0042176E"/>
    <w:rsid w:val="00421999"/>
    <w:rsid w:val="004222A3"/>
    <w:rsid w:val="0042313E"/>
    <w:rsid w:val="00423EA8"/>
    <w:rsid w:val="00424755"/>
    <w:rsid w:val="00424D43"/>
    <w:rsid w:val="004263DF"/>
    <w:rsid w:val="00430CDE"/>
    <w:rsid w:val="00430D38"/>
    <w:rsid w:val="00432382"/>
    <w:rsid w:val="00432DED"/>
    <w:rsid w:val="00432E6C"/>
    <w:rsid w:val="00433779"/>
    <w:rsid w:val="00441889"/>
    <w:rsid w:val="00441AF1"/>
    <w:rsid w:val="00444592"/>
    <w:rsid w:val="00444E39"/>
    <w:rsid w:val="004460CD"/>
    <w:rsid w:val="00450081"/>
    <w:rsid w:val="00450413"/>
    <w:rsid w:val="00450685"/>
    <w:rsid w:val="00452542"/>
    <w:rsid w:val="00452C2B"/>
    <w:rsid w:val="00453D31"/>
    <w:rsid w:val="00460081"/>
    <w:rsid w:val="004602F3"/>
    <w:rsid w:val="004613D1"/>
    <w:rsid w:val="00462B31"/>
    <w:rsid w:val="00462FB6"/>
    <w:rsid w:val="00463135"/>
    <w:rsid w:val="0047064D"/>
    <w:rsid w:val="004735E7"/>
    <w:rsid w:val="004754F3"/>
    <w:rsid w:val="00481C70"/>
    <w:rsid w:val="00481D52"/>
    <w:rsid w:val="004826A7"/>
    <w:rsid w:val="00483153"/>
    <w:rsid w:val="00483805"/>
    <w:rsid w:val="00484FEA"/>
    <w:rsid w:val="004867B5"/>
    <w:rsid w:val="00487478"/>
    <w:rsid w:val="00487DA0"/>
    <w:rsid w:val="00487DCB"/>
    <w:rsid w:val="004900FD"/>
    <w:rsid w:val="0049064B"/>
    <w:rsid w:val="00490D0D"/>
    <w:rsid w:val="00491ACA"/>
    <w:rsid w:val="00493D11"/>
    <w:rsid w:val="00496ECC"/>
    <w:rsid w:val="0049738A"/>
    <w:rsid w:val="004A3DBE"/>
    <w:rsid w:val="004A44A0"/>
    <w:rsid w:val="004A770C"/>
    <w:rsid w:val="004B1636"/>
    <w:rsid w:val="004B19EC"/>
    <w:rsid w:val="004B2018"/>
    <w:rsid w:val="004B2174"/>
    <w:rsid w:val="004B2C95"/>
    <w:rsid w:val="004B3A95"/>
    <w:rsid w:val="004B4AEC"/>
    <w:rsid w:val="004B686B"/>
    <w:rsid w:val="004B7AE8"/>
    <w:rsid w:val="004C0BAB"/>
    <w:rsid w:val="004C0CD9"/>
    <w:rsid w:val="004C0FE2"/>
    <w:rsid w:val="004C10F4"/>
    <w:rsid w:val="004C3B68"/>
    <w:rsid w:val="004C5A69"/>
    <w:rsid w:val="004C67A9"/>
    <w:rsid w:val="004C69A8"/>
    <w:rsid w:val="004C6C92"/>
    <w:rsid w:val="004C79F5"/>
    <w:rsid w:val="004D2A43"/>
    <w:rsid w:val="004D4520"/>
    <w:rsid w:val="004D5808"/>
    <w:rsid w:val="004D7389"/>
    <w:rsid w:val="004E3AB6"/>
    <w:rsid w:val="004E475C"/>
    <w:rsid w:val="004E5602"/>
    <w:rsid w:val="004E607E"/>
    <w:rsid w:val="004F2382"/>
    <w:rsid w:val="004F347B"/>
    <w:rsid w:val="004F3C9B"/>
    <w:rsid w:val="004F6817"/>
    <w:rsid w:val="004F6F31"/>
    <w:rsid w:val="004F7B06"/>
    <w:rsid w:val="005018FA"/>
    <w:rsid w:val="00502E17"/>
    <w:rsid w:val="005062F5"/>
    <w:rsid w:val="005064B6"/>
    <w:rsid w:val="0050671B"/>
    <w:rsid w:val="00506B80"/>
    <w:rsid w:val="005108A9"/>
    <w:rsid w:val="0051173B"/>
    <w:rsid w:val="00512F44"/>
    <w:rsid w:val="00513139"/>
    <w:rsid w:val="005144A6"/>
    <w:rsid w:val="00514B52"/>
    <w:rsid w:val="00514E83"/>
    <w:rsid w:val="00514ED7"/>
    <w:rsid w:val="0051504E"/>
    <w:rsid w:val="00517144"/>
    <w:rsid w:val="00517629"/>
    <w:rsid w:val="00517A21"/>
    <w:rsid w:val="005204A1"/>
    <w:rsid w:val="00520F30"/>
    <w:rsid w:val="00521392"/>
    <w:rsid w:val="005222F9"/>
    <w:rsid w:val="00522465"/>
    <w:rsid w:val="00522564"/>
    <w:rsid w:val="00523204"/>
    <w:rsid w:val="005264D0"/>
    <w:rsid w:val="00531562"/>
    <w:rsid w:val="00532AA8"/>
    <w:rsid w:val="005332B7"/>
    <w:rsid w:val="005333AB"/>
    <w:rsid w:val="00534C50"/>
    <w:rsid w:val="00536C76"/>
    <w:rsid w:val="00540150"/>
    <w:rsid w:val="0054118E"/>
    <w:rsid w:val="00542046"/>
    <w:rsid w:val="00543262"/>
    <w:rsid w:val="00543344"/>
    <w:rsid w:val="0054371E"/>
    <w:rsid w:val="00545B13"/>
    <w:rsid w:val="0054694B"/>
    <w:rsid w:val="0054786B"/>
    <w:rsid w:val="00547FA8"/>
    <w:rsid w:val="0055177D"/>
    <w:rsid w:val="005519AC"/>
    <w:rsid w:val="0055278C"/>
    <w:rsid w:val="005534D2"/>
    <w:rsid w:val="00555204"/>
    <w:rsid w:val="005565FB"/>
    <w:rsid w:val="00556DE8"/>
    <w:rsid w:val="005578BD"/>
    <w:rsid w:val="00557F41"/>
    <w:rsid w:val="0056028C"/>
    <w:rsid w:val="00560989"/>
    <w:rsid w:val="00560AD7"/>
    <w:rsid w:val="005616A9"/>
    <w:rsid w:val="005628F0"/>
    <w:rsid w:val="00562DD9"/>
    <w:rsid w:val="00562E2C"/>
    <w:rsid w:val="00564F4E"/>
    <w:rsid w:val="00566EC6"/>
    <w:rsid w:val="005673E5"/>
    <w:rsid w:val="005721AA"/>
    <w:rsid w:val="00573D1E"/>
    <w:rsid w:val="00574A3A"/>
    <w:rsid w:val="00575E53"/>
    <w:rsid w:val="00576660"/>
    <w:rsid w:val="00577B61"/>
    <w:rsid w:val="00580E51"/>
    <w:rsid w:val="005823E4"/>
    <w:rsid w:val="00582C39"/>
    <w:rsid w:val="00582EC4"/>
    <w:rsid w:val="00583C56"/>
    <w:rsid w:val="00585177"/>
    <w:rsid w:val="00586CF5"/>
    <w:rsid w:val="00590325"/>
    <w:rsid w:val="005906A1"/>
    <w:rsid w:val="0059156A"/>
    <w:rsid w:val="005932F5"/>
    <w:rsid w:val="00593815"/>
    <w:rsid w:val="00594B98"/>
    <w:rsid w:val="00597EC3"/>
    <w:rsid w:val="005A0D35"/>
    <w:rsid w:val="005A1C44"/>
    <w:rsid w:val="005A1CD7"/>
    <w:rsid w:val="005A1F59"/>
    <w:rsid w:val="005A326D"/>
    <w:rsid w:val="005A34DE"/>
    <w:rsid w:val="005A3B9B"/>
    <w:rsid w:val="005A4D7C"/>
    <w:rsid w:val="005A7CFD"/>
    <w:rsid w:val="005B0C0D"/>
    <w:rsid w:val="005B137D"/>
    <w:rsid w:val="005B1E63"/>
    <w:rsid w:val="005B2B8B"/>
    <w:rsid w:val="005C00D5"/>
    <w:rsid w:val="005C03C4"/>
    <w:rsid w:val="005C09F6"/>
    <w:rsid w:val="005C0CEC"/>
    <w:rsid w:val="005C6F5C"/>
    <w:rsid w:val="005D1FBE"/>
    <w:rsid w:val="005D1FF4"/>
    <w:rsid w:val="005D658B"/>
    <w:rsid w:val="005D6D1C"/>
    <w:rsid w:val="005D716E"/>
    <w:rsid w:val="005D74FB"/>
    <w:rsid w:val="005D7B7C"/>
    <w:rsid w:val="005D7BE8"/>
    <w:rsid w:val="005E0B87"/>
    <w:rsid w:val="005E0E50"/>
    <w:rsid w:val="005E26BE"/>
    <w:rsid w:val="005E380E"/>
    <w:rsid w:val="005E3CF8"/>
    <w:rsid w:val="005E461E"/>
    <w:rsid w:val="005E4FB0"/>
    <w:rsid w:val="005E5D6F"/>
    <w:rsid w:val="005E6B94"/>
    <w:rsid w:val="005E6D04"/>
    <w:rsid w:val="005F0F6A"/>
    <w:rsid w:val="005F27BA"/>
    <w:rsid w:val="005F6574"/>
    <w:rsid w:val="0060029B"/>
    <w:rsid w:val="006003AC"/>
    <w:rsid w:val="006004FC"/>
    <w:rsid w:val="00600C7F"/>
    <w:rsid w:val="00602637"/>
    <w:rsid w:val="00602D46"/>
    <w:rsid w:val="006033C3"/>
    <w:rsid w:val="00603A2C"/>
    <w:rsid w:val="006042C6"/>
    <w:rsid w:val="00604B2E"/>
    <w:rsid w:val="00605D3E"/>
    <w:rsid w:val="00607D26"/>
    <w:rsid w:val="00607F62"/>
    <w:rsid w:val="00612710"/>
    <w:rsid w:val="0061292A"/>
    <w:rsid w:val="00612D1C"/>
    <w:rsid w:val="00615411"/>
    <w:rsid w:val="006169B2"/>
    <w:rsid w:val="0061755A"/>
    <w:rsid w:val="006176E0"/>
    <w:rsid w:val="00621AB2"/>
    <w:rsid w:val="00622602"/>
    <w:rsid w:val="00623DFF"/>
    <w:rsid w:val="00623FFA"/>
    <w:rsid w:val="00627C61"/>
    <w:rsid w:val="00630CCC"/>
    <w:rsid w:val="00630EDA"/>
    <w:rsid w:val="00631004"/>
    <w:rsid w:val="00631A3D"/>
    <w:rsid w:val="0063270C"/>
    <w:rsid w:val="00633153"/>
    <w:rsid w:val="00634A6C"/>
    <w:rsid w:val="00637109"/>
    <w:rsid w:val="00641CC8"/>
    <w:rsid w:val="00644694"/>
    <w:rsid w:val="00646F12"/>
    <w:rsid w:val="00647767"/>
    <w:rsid w:val="00647CCC"/>
    <w:rsid w:val="00650BD8"/>
    <w:rsid w:val="00651413"/>
    <w:rsid w:val="006520B2"/>
    <w:rsid w:val="0065290A"/>
    <w:rsid w:val="00653D2C"/>
    <w:rsid w:val="00655387"/>
    <w:rsid w:val="0065682A"/>
    <w:rsid w:val="0066119D"/>
    <w:rsid w:val="0066310E"/>
    <w:rsid w:val="0066477A"/>
    <w:rsid w:val="006663D1"/>
    <w:rsid w:val="00667A1E"/>
    <w:rsid w:val="00667D66"/>
    <w:rsid w:val="00667ED5"/>
    <w:rsid w:val="00670AD6"/>
    <w:rsid w:val="00670C23"/>
    <w:rsid w:val="00670EB3"/>
    <w:rsid w:val="006720C7"/>
    <w:rsid w:val="00674E21"/>
    <w:rsid w:val="006763BF"/>
    <w:rsid w:val="0067707B"/>
    <w:rsid w:val="00677405"/>
    <w:rsid w:val="00680473"/>
    <w:rsid w:val="00680649"/>
    <w:rsid w:val="00680C37"/>
    <w:rsid w:val="006819EF"/>
    <w:rsid w:val="00683ADC"/>
    <w:rsid w:val="00683B8C"/>
    <w:rsid w:val="006842D2"/>
    <w:rsid w:val="00684B80"/>
    <w:rsid w:val="006863FA"/>
    <w:rsid w:val="00690080"/>
    <w:rsid w:val="00690203"/>
    <w:rsid w:val="006902F2"/>
    <w:rsid w:val="0069073C"/>
    <w:rsid w:val="0069094F"/>
    <w:rsid w:val="0069160B"/>
    <w:rsid w:val="0069221B"/>
    <w:rsid w:val="00693410"/>
    <w:rsid w:val="006953EF"/>
    <w:rsid w:val="00697185"/>
    <w:rsid w:val="006A00EA"/>
    <w:rsid w:val="006A0525"/>
    <w:rsid w:val="006A08C9"/>
    <w:rsid w:val="006A17B8"/>
    <w:rsid w:val="006A3046"/>
    <w:rsid w:val="006A35E6"/>
    <w:rsid w:val="006A46E6"/>
    <w:rsid w:val="006A4D62"/>
    <w:rsid w:val="006A4E3B"/>
    <w:rsid w:val="006A5D65"/>
    <w:rsid w:val="006B0E81"/>
    <w:rsid w:val="006B0E92"/>
    <w:rsid w:val="006B3EC3"/>
    <w:rsid w:val="006B45CC"/>
    <w:rsid w:val="006B5C89"/>
    <w:rsid w:val="006B6CC7"/>
    <w:rsid w:val="006B70F9"/>
    <w:rsid w:val="006C00E5"/>
    <w:rsid w:val="006C0254"/>
    <w:rsid w:val="006C1FAA"/>
    <w:rsid w:val="006C20F2"/>
    <w:rsid w:val="006C2C29"/>
    <w:rsid w:val="006C3315"/>
    <w:rsid w:val="006C3F55"/>
    <w:rsid w:val="006C4845"/>
    <w:rsid w:val="006C4967"/>
    <w:rsid w:val="006C4C40"/>
    <w:rsid w:val="006C5887"/>
    <w:rsid w:val="006C594F"/>
    <w:rsid w:val="006D02A0"/>
    <w:rsid w:val="006D0B2D"/>
    <w:rsid w:val="006D12CC"/>
    <w:rsid w:val="006D3B3A"/>
    <w:rsid w:val="006D3FE2"/>
    <w:rsid w:val="006D4F4F"/>
    <w:rsid w:val="006D5E76"/>
    <w:rsid w:val="006E0C26"/>
    <w:rsid w:val="006E1F7E"/>
    <w:rsid w:val="006E2482"/>
    <w:rsid w:val="006E3888"/>
    <w:rsid w:val="006E4D5E"/>
    <w:rsid w:val="006E505E"/>
    <w:rsid w:val="006E5EE0"/>
    <w:rsid w:val="006E79EF"/>
    <w:rsid w:val="006F00D2"/>
    <w:rsid w:val="006F05B9"/>
    <w:rsid w:val="006F29F2"/>
    <w:rsid w:val="006F2C48"/>
    <w:rsid w:val="006F4382"/>
    <w:rsid w:val="006F7492"/>
    <w:rsid w:val="00700000"/>
    <w:rsid w:val="007042B3"/>
    <w:rsid w:val="007060AF"/>
    <w:rsid w:val="007067E4"/>
    <w:rsid w:val="00710783"/>
    <w:rsid w:val="0071138E"/>
    <w:rsid w:val="0071167B"/>
    <w:rsid w:val="007121D3"/>
    <w:rsid w:val="0071282D"/>
    <w:rsid w:val="00712DF3"/>
    <w:rsid w:val="007140C3"/>
    <w:rsid w:val="007168EF"/>
    <w:rsid w:val="007173CD"/>
    <w:rsid w:val="0072067D"/>
    <w:rsid w:val="00722960"/>
    <w:rsid w:val="00722E50"/>
    <w:rsid w:val="00724DDA"/>
    <w:rsid w:val="00725237"/>
    <w:rsid w:val="0072583B"/>
    <w:rsid w:val="00726522"/>
    <w:rsid w:val="00732A86"/>
    <w:rsid w:val="00733371"/>
    <w:rsid w:val="00734128"/>
    <w:rsid w:val="0073439A"/>
    <w:rsid w:val="00734ED9"/>
    <w:rsid w:val="00737C0A"/>
    <w:rsid w:val="00740C2E"/>
    <w:rsid w:val="00740CA7"/>
    <w:rsid w:val="00742883"/>
    <w:rsid w:val="00742E57"/>
    <w:rsid w:val="00742FB3"/>
    <w:rsid w:val="007440AF"/>
    <w:rsid w:val="00744515"/>
    <w:rsid w:val="007445DA"/>
    <w:rsid w:val="00744D92"/>
    <w:rsid w:val="00745A3D"/>
    <w:rsid w:val="00746535"/>
    <w:rsid w:val="0074686D"/>
    <w:rsid w:val="00746AE3"/>
    <w:rsid w:val="007470D2"/>
    <w:rsid w:val="00747AC5"/>
    <w:rsid w:val="00750FDD"/>
    <w:rsid w:val="007510B1"/>
    <w:rsid w:val="00751914"/>
    <w:rsid w:val="0075235D"/>
    <w:rsid w:val="00752D77"/>
    <w:rsid w:val="00753818"/>
    <w:rsid w:val="00754326"/>
    <w:rsid w:val="00754888"/>
    <w:rsid w:val="00754EA3"/>
    <w:rsid w:val="00755D45"/>
    <w:rsid w:val="00756623"/>
    <w:rsid w:val="0075715F"/>
    <w:rsid w:val="00762091"/>
    <w:rsid w:val="00762255"/>
    <w:rsid w:val="00762266"/>
    <w:rsid w:val="00762855"/>
    <w:rsid w:val="00763170"/>
    <w:rsid w:val="007634A8"/>
    <w:rsid w:val="0076640E"/>
    <w:rsid w:val="007708F1"/>
    <w:rsid w:val="00771C9F"/>
    <w:rsid w:val="00772B9C"/>
    <w:rsid w:val="00773030"/>
    <w:rsid w:val="007733D1"/>
    <w:rsid w:val="00774D2D"/>
    <w:rsid w:val="0077511E"/>
    <w:rsid w:val="00775642"/>
    <w:rsid w:val="0077578D"/>
    <w:rsid w:val="00775BD4"/>
    <w:rsid w:val="007763F9"/>
    <w:rsid w:val="00776C5D"/>
    <w:rsid w:val="00780375"/>
    <w:rsid w:val="00781A0D"/>
    <w:rsid w:val="00782747"/>
    <w:rsid w:val="007839E3"/>
    <w:rsid w:val="00784200"/>
    <w:rsid w:val="007847B5"/>
    <w:rsid w:val="00785362"/>
    <w:rsid w:val="00785D1F"/>
    <w:rsid w:val="00787252"/>
    <w:rsid w:val="00787434"/>
    <w:rsid w:val="00787551"/>
    <w:rsid w:val="007905B6"/>
    <w:rsid w:val="0079268D"/>
    <w:rsid w:val="00793C83"/>
    <w:rsid w:val="00793DE1"/>
    <w:rsid w:val="00794F04"/>
    <w:rsid w:val="00796B7C"/>
    <w:rsid w:val="00797842"/>
    <w:rsid w:val="007A17BA"/>
    <w:rsid w:val="007A2426"/>
    <w:rsid w:val="007A3A11"/>
    <w:rsid w:val="007A3C6C"/>
    <w:rsid w:val="007A5470"/>
    <w:rsid w:val="007A72D1"/>
    <w:rsid w:val="007A75B0"/>
    <w:rsid w:val="007B0ADA"/>
    <w:rsid w:val="007B1DE5"/>
    <w:rsid w:val="007B1E72"/>
    <w:rsid w:val="007B1EB1"/>
    <w:rsid w:val="007B27FE"/>
    <w:rsid w:val="007B40A1"/>
    <w:rsid w:val="007B45FD"/>
    <w:rsid w:val="007B57D0"/>
    <w:rsid w:val="007B6149"/>
    <w:rsid w:val="007B672D"/>
    <w:rsid w:val="007B67E7"/>
    <w:rsid w:val="007B6A69"/>
    <w:rsid w:val="007B7F80"/>
    <w:rsid w:val="007C036F"/>
    <w:rsid w:val="007C065B"/>
    <w:rsid w:val="007C0A9E"/>
    <w:rsid w:val="007C1EEB"/>
    <w:rsid w:val="007C29F2"/>
    <w:rsid w:val="007C33C3"/>
    <w:rsid w:val="007C4C5B"/>
    <w:rsid w:val="007C789C"/>
    <w:rsid w:val="007C7F5B"/>
    <w:rsid w:val="007CF31F"/>
    <w:rsid w:val="007D0248"/>
    <w:rsid w:val="007D0585"/>
    <w:rsid w:val="007D099C"/>
    <w:rsid w:val="007D0EA0"/>
    <w:rsid w:val="007D14F3"/>
    <w:rsid w:val="007D1EAB"/>
    <w:rsid w:val="007D43C5"/>
    <w:rsid w:val="007D4F62"/>
    <w:rsid w:val="007D5C29"/>
    <w:rsid w:val="007D7839"/>
    <w:rsid w:val="007D7894"/>
    <w:rsid w:val="007D7938"/>
    <w:rsid w:val="007E1F16"/>
    <w:rsid w:val="007E2F2E"/>
    <w:rsid w:val="007E4130"/>
    <w:rsid w:val="007E5E7A"/>
    <w:rsid w:val="007E5FC5"/>
    <w:rsid w:val="007E67B7"/>
    <w:rsid w:val="007E6C90"/>
    <w:rsid w:val="007E7B94"/>
    <w:rsid w:val="007F0633"/>
    <w:rsid w:val="007F13C3"/>
    <w:rsid w:val="007F237E"/>
    <w:rsid w:val="007F2B54"/>
    <w:rsid w:val="007F4B2C"/>
    <w:rsid w:val="007F4B82"/>
    <w:rsid w:val="007F69A4"/>
    <w:rsid w:val="00800DCE"/>
    <w:rsid w:val="00801362"/>
    <w:rsid w:val="008028FD"/>
    <w:rsid w:val="00802B1E"/>
    <w:rsid w:val="00803247"/>
    <w:rsid w:val="00803393"/>
    <w:rsid w:val="00803CBF"/>
    <w:rsid w:val="008041C1"/>
    <w:rsid w:val="008056A4"/>
    <w:rsid w:val="0080678F"/>
    <w:rsid w:val="008122AF"/>
    <w:rsid w:val="00812E73"/>
    <w:rsid w:val="00815A15"/>
    <w:rsid w:val="008166BD"/>
    <w:rsid w:val="00817066"/>
    <w:rsid w:val="00821615"/>
    <w:rsid w:val="0082282F"/>
    <w:rsid w:val="00823991"/>
    <w:rsid w:val="00824C66"/>
    <w:rsid w:val="008256CD"/>
    <w:rsid w:val="008259AD"/>
    <w:rsid w:val="00826D7A"/>
    <w:rsid w:val="00831561"/>
    <w:rsid w:val="008315F6"/>
    <w:rsid w:val="0083197D"/>
    <w:rsid w:val="00831C11"/>
    <w:rsid w:val="00831F06"/>
    <w:rsid w:val="008321B0"/>
    <w:rsid w:val="00832E8B"/>
    <w:rsid w:val="00833124"/>
    <w:rsid w:val="00833AC7"/>
    <w:rsid w:val="00834BDB"/>
    <w:rsid w:val="0083604F"/>
    <w:rsid w:val="00836D40"/>
    <w:rsid w:val="008379C3"/>
    <w:rsid w:val="00837D69"/>
    <w:rsid w:val="008418E0"/>
    <w:rsid w:val="00841DA3"/>
    <w:rsid w:val="00842385"/>
    <w:rsid w:val="00842D75"/>
    <w:rsid w:val="00843791"/>
    <w:rsid w:val="0084442C"/>
    <w:rsid w:val="00844461"/>
    <w:rsid w:val="00844FA3"/>
    <w:rsid w:val="00845420"/>
    <w:rsid w:val="0084561F"/>
    <w:rsid w:val="00845EFC"/>
    <w:rsid w:val="00846639"/>
    <w:rsid w:val="008510EC"/>
    <w:rsid w:val="00852519"/>
    <w:rsid w:val="0085316D"/>
    <w:rsid w:val="008532F8"/>
    <w:rsid w:val="00853B0B"/>
    <w:rsid w:val="00855239"/>
    <w:rsid w:val="00856742"/>
    <w:rsid w:val="00857F34"/>
    <w:rsid w:val="00860600"/>
    <w:rsid w:val="00867392"/>
    <w:rsid w:val="00871102"/>
    <w:rsid w:val="008721A5"/>
    <w:rsid w:val="00872401"/>
    <w:rsid w:val="00872430"/>
    <w:rsid w:val="008725EE"/>
    <w:rsid w:val="00872AAF"/>
    <w:rsid w:val="008739DF"/>
    <w:rsid w:val="00873E11"/>
    <w:rsid w:val="00875528"/>
    <w:rsid w:val="00876C60"/>
    <w:rsid w:val="00877651"/>
    <w:rsid w:val="008776BC"/>
    <w:rsid w:val="00882080"/>
    <w:rsid w:val="0088531B"/>
    <w:rsid w:val="00885819"/>
    <w:rsid w:val="00886E22"/>
    <w:rsid w:val="0088797A"/>
    <w:rsid w:val="0089038D"/>
    <w:rsid w:val="00890C51"/>
    <w:rsid w:val="008911AE"/>
    <w:rsid w:val="0089214A"/>
    <w:rsid w:val="00893E4D"/>
    <w:rsid w:val="008943BF"/>
    <w:rsid w:val="008969AA"/>
    <w:rsid w:val="00896B5F"/>
    <w:rsid w:val="00896DA0"/>
    <w:rsid w:val="00897A50"/>
    <w:rsid w:val="00897BB3"/>
    <w:rsid w:val="00897D71"/>
    <w:rsid w:val="00897DB6"/>
    <w:rsid w:val="008A0E8C"/>
    <w:rsid w:val="008A20AE"/>
    <w:rsid w:val="008A393D"/>
    <w:rsid w:val="008A62BD"/>
    <w:rsid w:val="008A74A6"/>
    <w:rsid w:val="008A7C70"/>
    <w:rsid w:val="008B10C7"/>
    <w:rsid w:val="008B1420"/>
    <w:rsid w:val="008B417C"/>
    <w:rsid w:val="008B50B3"/>
    <w:rsid w:val="008B73DF"/>
    <w:rsid w:val="008B7B17"/>
    <w:rsid w:val="008C22D2"/>
    <w:rsid w:val="008C3182"/>
    <w:rsid w:val="008C715C"/>
    <w:rsid w:val="008C72E9"/>
    <w:rsid w:val="008D018D"/>
    <w:rsid w:val="008D01CB"/>
    <w:rsid w:val="008D0916"/>
    <w:rsid w:val="008D1F0D"/>
    <w:rsid w:val="008D2BEA"/>
    <w:rsid w:val="008D2FE2"/>
    <w:rsid w:val="008D3759"/>
    <w:rsid w:val="008D40F4"/>
    <w:rsid w:val="008D5F2B"/>
    <w:rsid w:val="008D79F0"/>
    <w:rsid w:val="008D7A9D"/>
    <w:rsid w:val="008E096D"/>
    <w:rsid w:val="008E09C5"/>
    <w:rsid w:val="008E0B05"/>
    <w:rsid w:val="008E2356"/>
    <w:rsid w:val="008E3C07"/>
    <w:rsid w:val="008E4958"/>
    <w:rsid w:val="008E513C"/>
    <w:rsid w:val="008E6265"/>
    <w:rsid w:val="008F19AB"/>
    <w:rsid w:val="008F291E"/>
    <w:rsid w:val="008F2D0B"/>
    <w:rsid w:val="008F57F0"/>
    <w:rsid w:val="008F5C0E"/>
    <w:rsid w:val="008F6047"/>
    <w:rsid w:val="008F610D"/>
    <w:rsid w:val="008F763D"/>
    <w:rsid w:val="00900662"/>
    <w:rsid w:val="009008D4"/>
    <w:rsid w:val="00901329"/>
    <w:rsid w:val="00901CCB"/>
    <w:rsid w:val="00902B48"/>
    <w:rsid w:val="00904B0F"/>
    <w:rsid w:val="00904FF1"/>
    <w:rsid w:val="0090529B"/>
    <w:rsid w:val="00906051"/>
    <w:rsid w:val="00906686"/>
    <w:rsid w:val="009068C2"/>
    <w:rsid w:val="00910D70"/>
    <w:rsid w:val="00911457"/>
    <w:rsid w:val="00913841"/>
    <w:rsid w:val="00914CE5"/>
    <w:rsid w:val="00915517"/>
    <w:rsid w:val="0091630D"/>
    <w:rsid w:val="009171A1"/>
    <w:rsid w:val="009171CC"/>
    <w:rsid w:val="0092069A"/>
    <w:rsid w:val="00920AE3"/>
    <w:rsid w:val="009212CB"/>
    <w:rsid w:val="00921BAD"/>
    <w:rsid w:val="00923557"/>
    <w:rsid w:val="0092412B"/>
    <w:rsid w:val="009251D1"/>
    <w:rsid w:val="009278A8"/>
    <w:rsid w:val="009305E8"/>
    <w:rsid w:val="00930CA8"/>
    <w:rsid w:val="00931F9F"/>
    <w:rsid w:val="00933157"/>
    <w:rsid w:val="00934879"/>
    <w:rsid w:val="009348AB"/>
    <w:rsid w:val="00935326"/>
    <w:rsid w:val="009358CB"/>
    <w:rsid w:val="0093669E"/>
    <w:rsid w:val="0093756B"/>
    <w:rsid w:val="00940150"/>
    <w:rsid w:val="00941FB8"/>
    <w:rsid w:val="009427B3"/>
    <w:rsid w:val="00942BFD"/>
    <w:rsid w:val="009434C1"/>
    <w:rsid w:val="009437F4"/>
    <w:rsid w:val="009460D2"/>
    <w:rsid w:val="00946464"/>
    <w:rsid w:val="00946CBB"/>
    <w:rsid w:val="009471E5"/>
    <w:rsid w:val="009474C9"/>
    <w:rsid w:val="00950032"/>
    <w:rsid w:val="0095297F"/>
    <w:rsid w:val="009555A7"/>
    <w:rsid w:val="009564D1"/>
    <w:rsid w:val="0095739F"/>
    <w:rsid w:val="00960970"/>
    <w:rsid w:val="00960AA4"/>
    <w:rsid w:val="009615F6"/>
    <w:rsid w:val="009620AD"/>
    <w:rsid w:val="009656B4"/>
    <w:rsid w:val="009702E9"/>
    <w:rsid w:val="00971458"/>
    <w:rsid w:val="00971825"/>
    <w:rsid w:val="009733DF"/>
    <w:rsid w:val="00975541"/>
    <w:rsid w:val="00975C0F"/>
    <w:rsid w:val="009776B6"/>
    <w:rsid w:val="009779C1"/>
    <w:rsid w:val="00980432"/>
    <w:rsid w:val="009812E4"/>
    <w:rsid w:val="009822FE"/>
    <w:rsid w:val="0098260A"/>
    <w:rsid w:val="009828D3"/>
    <w:rsid w:val="00982A26"/>
    <w:rsid w:val="00982AD9"/>
    <w:rsid w:val="00983714"/>
    <w:rsid w:val="00983C71"/>
    <w:rsid w:val="009853F4"/>
    <w:rsid w:val="00985574"/>
    <w:rsid w:val="00985608"/>
    <w:rsid w:val="00986A66"/>
    <w:rsid w:val="00986ED4"/>
    <w:rsid w:val="009873AF"/>
    <w:rsid w:val="00995A96"/>
    <w:rsid w:val="00996865"/>
    <w:rsid w:val="00997729"/>
    <w:rsid w:val="009977A5"/>
    <w:rsid w:val="009977FA"/>
    <w:rsid w:val="009978C2"/>
    <w:rsid w:val="00997A1C"/>
    <w:rsid w:val="009A2265"/>
    <w:rsid w:val="009A32F2"/>
    <w:rsid w:val="009A53CB"/>
    <w:rsid w:val="009A73B7"/>
    <w:rsid w:val="009A7909"/>
    <w:rsid w:val="009B0AAE"/>
    <w:rsid w:val="009B1075"/>
    <w:rsid w:val="009B25C5"/>
    <w:rsid w:val="009B2DF7"/>
    <w:rsid w:val="009B3266"/>
    <w:rsid w:val="009B52F4"/>
    <w:rsid w:val="009B563B"/>
    <w:rsid w:val="009B5C72"/>
    <w:rsid w:val="009B5F64"/>
    <w:rsid w:val="009B6483"/>
    <w:rsid w:val="009C12E3"/>
    <w:rsid w:val="009C49B0"/>
    <w:rsid w:val="009C525E"/>
    <w:rsid w:val="009C5325"/>
    <w:rsid w:val="009C74EF"/>
    <w:rsid w:val="009C7B57"/>
    <w:rsid w:val="009D0AB6"/>
    <w:rsid w:val="009D12B4"/>
    <w:rsid w:val="009D2170"/>
    <w:rsid w:val="009D2F5D"/>
    <w:rsid w:val="009D3A6A"/>
    <w:rsid w:val="009D3BE6"/>
    <w:rsid w:val="009D4886"/>
    <w:rsid w:val="009D5016"/>
    <w:rsid w:val="009E0E92"/>
    <w:rsid w:val="009E1704"/>
    <w:rsid w:val="009E33A7"/>
    <w:rsid w:val="009E4F9C"/>
    <w:rsid w:val="009E71E7"/>
    <w:rsid w:val="009F0950"/>
    <w:rsid w:val="009F0EAE"/>
    <w:rsid w:val="009F29D0"/>
    <w:rsid w:val="009F2FD0"/>
    <w:rsid w:val="009F3171"/>
    <w:rsid w:val="009F3666"/>
    <w:rsid w:val="009F373C"/>
    <w:rsid w:val="009F6F84"/>
    <w:rsid w:val="00A0001B"/>
    <w:rsid w:val="00A00603"/>
    <w:rsid w:val="00A00AF6"/>
    <w:rsid w:val="00A00BD8"/>
    <w:rsid w:val="00A00DB2"/>
    <w:rsid w:val="00A03F0A"/>
    <w:rsid w:val="00A04A6E"/>
    <w:rsid w:val="00A051C5"/>
    <w:rsid w:val="00A06057"/>
    <w:rsid w:val="00A07823"/>
    <w:rsid w:val="00A078A1"/>
    <w:rsid w:val="00A07F00"/>
    <w:rsid w:val="00A12579"/>
    <w:rsid w:val="00A1304B"/>
    <w:rsid w:val="00A13CA2"/>
    <w:rsid w:val="00A1589D"/>
    <w:rsid w:val="00A175C2"/>
    <w:rsid w:val="00A17706"/>
    <w:rsid w:val="00A17B3B"/>
    <w:rsid w:val="00A2215D"/>
    <w:rsid w:val="00A24599"/>
    <w:rsid w:val="00A2581D"/>
    <w:rsid w:val="00A26F5C"/>
    <w:rsid w:val="00A2767B"/>
    <w:rsid w:val="00A30F2E"/>
    <w:rsid w:val="00A3110E"/>
    <w:rsid w:val="00A321A3"/>
    <w:rsid w:val="00A3282B"/>
    <w:rsid w:val="00A33042"/>
    <w:rsid w:val="00A34742"/>
    <w:rsid w:val="00A34C6A"/>
    <w:rsid w:val="00A34F46"/>
    <w:rsid w:val="00A35A68"/>
    <w:rsid w:val="00A35E35"/>
    <w:rsid w:val="00A372B3"/>
    <w:rsid w:val="00A427E9"/>
    <w:rsid w:val="00A44682"/>
    <w:rsid w:val="00A4479A"/>
    <w:rsid w:val="00A4660C"/>
    <w:rsid w:val="00A46B52"/>
    <w:rsid w:val="00A46B54"/>
    <w:rsid w:val="00A46E53"/>
    <w:rsid w:val="00A53CBD"/>
    <w:rsid w:val="00A54735"/>
    <w:rsid w:val="00A56A4D"/>
    <w:rsid w:val="00A57D9A"/>
    <w:rsid w:val="00A5CAB6"/>
    <w:rsid w:val="00A60969"/>
    <w:rsid w:val="00A623B7"/>
    <w:rsid w:val="00A64F84"/>
    <w:rsid w:val="00A6513D"/>
    <w:rsid w:val="00A6594F"/>
    <w:rsid w:val="00A706FF"/>
    <w:rsid w:val="00A71229"/>
    <w:rsid w:val="00A71C58"/>
    <w:rsid w:val="00A739E8"/>
    <w:rsid w:val="00A741DA"/>
    <w:rsid w:val="00A74CCA"/>
    <w:rsid w:val="00A8070D"/>
    <w:rsid w:val="00A81058"/>
    <w:rsid w:val="00A830E3"/>
    <w:rsid w:val="00A85512"/>
    <w:rsid w:val="00A85D89"/>
    <w:rsid w:val="00A860F2"/>
    <w:rsid w:val="00A86227"/>
    <w:rsid w:val="00A86B62"/>
    <w:rsid w:val="00A87210"/>
    <w:rsid w:val="00A87B51"/>
    <w:rsid w:val="00A913EB"/>
    <w:rsid w:val="00A91477"/>
    <w:rsid w:val="00A94EF5"/>
    <w:rsid w:val="00A968E4"/>
    <w:rsid w:val="00A96EEF"/>
    <w:rsid w:val="00AA00C2"/>
    <w:rsid w:val="00AA07E8"/>
    <w:rsid w:val="00AA2441"/>
    <w:rsid w:val="00AA2D84"/>
    <w:rsid w:val="00AA36FB"/>
    <w:rsid w:val="00AA5700"/>
    <w:rsid w:val="00AA5837"/>
    <w:rsid w:val="00AA6333"/>
    <w:rsid w:val="00AA74CC"/>
    <w:rsid w:val="00AB1E36"/>
    <w:rsid w:val="00AB277E"/>
    <w:rsid w:val="00AB28DA"/>
    <w:rsid w:val="00AB29F2"/>
    <w:rsid w:val="00AB36E0"/>
    <w:rsid w:val="00AB59C2"/>
    <w:rsid w:val="00AB736F"/>
    <w:rsid w:val="00AB7416"/>
    <w:rsid w:val="00AC15D4"/>
    <w:rsid w:val="00AC2830"/>
    <w:rsid w:val="00AC2870"/>
    <w:rsid w:val="00AC7625"/>
    <w:rsid w:val="00AC76D6"/>
    <w:rsid w:val="00AC7AD7"/>
    <w:rsid w:val="00AD08E1"/>
    <w:rsid w:val="00AD5877"/>
    <w:rsid w:val="00AD7400"/>
    <w:rsid w:val="00AE308E"/>
    <w:rsid w:val="00AE333D"/>
    <w:rsid w:val="00AE3589"/>
    <w:rsid w:val="00AE7EBF"/>
    <w:rsid w:val="00AF1DC2"/>
    <w:rsid w:val="00AF34D0"/>
    <w:rsid w:val="00AF64A5"/>
    <w:rsid w:val="00AF753A"/>
    <w:rsid w:val="00AF75AC"/>
    <w:rsid w:val="00B0043E"/>
    <w:rsid w:val="00B008D6"/>
    <w:rsid w:val="00B009BF"/>
    <w:rsid w:val="00B00C82"/>
    <w:rsid w:val="00B028FA"/>
    <w:rsid w:val="00B04442"/>
    <w:rsid w:val="00B04730"/>
    <w:rsid w:val="00B049BE"/>
    <w:rsid w:val="00B0528D"/>
    <w:rsid w:val="00B05370"/>
    <w:rsid w:val="00B05752"/>
    <w:rsid w:val="00B0791C"/>
    <w:rsid w:val="00B10612"/>
    <w:rsid w:val="00B108C3"/>
    <w:rsid w:val="00B12760"/>
    <w:rsid w:val="00B13F4F"/>
    <w:rsid w:val="00B1528F"/>
    <w:rsid w:val="00B155A6"/>
    <w:rsid w:val="00B156A4"/>
    <w:rsid w:val="00B17F44"/>
    <w:rsid w:val="00B21030"/>
    <w:rsid w:val="00B21D77"/>
    <w:rsid w:val="00B2202D"/>
    <w:rsid w:val="00B23471"/>
    <w:rsid w:val="00B251D7"/>
    <w:rsid w:val="00B25A9D"/>
    <w:rsid w:val="00B30BF6"/>
    <w:rsid w:val="00B30F05"/>
    <w:rsid w:val="00B3144C"/>
    <w:rsid w:val="00B31CB4"/>
    <w:rsid w:val="00B3296F"/>
    <w:rsid w:val="00B336D9"/>
    <w:rsid w:val="00B33FAF"/>
    <w:rsid w:val="00B35FDA"/>
    <w:rsid w:val="00B37507"/>
    <w:rsid w:val="00B37B58"/>
    <w:rsid w:val="00B40F39"/>
    <w:rsid w:val="00B41936"/>
    <w:rsid w:val="00B42001"/>
    <w:rsid w:val="00B42D72"/>
    <w:rsid w:val="00B42F22"/>
    <w:rsid w:val="00B42FA9"/>
    <w:rsid w:val="00B444E4"/>
    <w:rsid w:val="00B45D52"/>
    <w:rsid w:val="00B45FD2"/>
    <w:rsid w:val="00B4615D"/>
    <w:rsid w:val="00B4640F"/>
    <w:rsid w:val="00B4669E"/>
    <w:rsid w:val="00B46BF7"/>
    <w:rsid w:val="00B46C26"/>
    <w:rsid w:val="00B47E57"/>
    <w:rsid w:val="00B507F0"/>
    <w:rsid w:val="00B51520"/>
    <w:rsid w:val="00B52520"/>
    <w:rsid w:val="00B56D4A"/>
    <w:rsid w:val="00B57466"/>
    <w:rsid w:val="00B57B2C"/>
    <w:rsid w:val="00B60E7C"/>
    <w:rsid w:val="00B62EC9"/>
    <w:rsid w:val="00B62FDA"/>
    <w:rsid w:val="00B63247"/>
    <w:rsid w:val="00B633D9"/>
    <w:rsid w:val="00B63A71"/>
    <w:rsid w:val="00B63C98"/>
    <w:rsid w:val="00B64B71"/>
    <w:rsid w:val="00B65CF4"/>
    <w:rsid w:val="00B66425"/>
    <w:rsid w:val="00B66D1F"/>
    <w:rsid w:val="00B71491"/>
    <w:rsid w:val="00B73187"/>
    <w:rsid w:val="00B76370"/>
    <w:rsid w:val="00B76BAE"/>
    <w:rsid w:val="00B80E84"/>
    <w:rsid w:val="00B80FD9"/>
    <w:rsid w:val="00B81358"/>
    <w:rsid w:val="00B831B1"/>
    <w:rsid w:val="00B84747"/>
    <w:rsid w:val="00B8583F"/>
    <w:rsid w:val="00B8589F"/>
    <w:rsid w:val="00B85DDC"/>
    <w:rsid w:val="00B85F72"/>
    <w:rsid w:val="00B8706C"/>
    <w:rsid w:val="00B8785D"/>
    <w:rsid w:val="00B87EEE"/>
    <w:rsid w:val="00B90B81"/>
    <w:rsid w:val="00B90EF0"/>
    <w:rsid w:val="00B91E30"/>
    <w:rsid w:val="00B928A3"/>
    <w:rsid w:val="00B93189"/>
    <w:rsid w:val="00B96328"/>
    <w:rsid w:val="00B96F1C"/>
    <w:rsid w:val="00B9746F"/>
    <w:rsid w:val="00B9757B"/>
    <w:rsid w:val="00B97D7A"/>
    <w:rsid w:val="00BA0942"/>
    <w:rsid w:val="00BA1D8B"/>
    <w:rsid w:val="00BA237B"/>
    <w:rsid w:val="00BA2768"/>
    <w:rsid w:val="00BA30CC"/>
    <w:rsid w:val="00BA5FDE"/>
    <w:rsid w:val="00BA6C1B"/>
    <w:rsid w:val="00BA71C0"/>
    <w:rsid w:val="00BA7502"/>
    <w:rsid w:val="00BB0566"/>
    <w:rsid w:val="00BB0C91"/>
    <w:rsid w:val="00BB2C8C"/>
    <w:rsid w:val="00BB3803"/>
    <w:rsid w:val="00BB4662"/>
    <w:rsid w:val="00BB53B8"/>
    <w:rsid w:val="00BB5B41"/>
    <w:rsid w:val="00BB6C97"/>
    <w:rsid w:val="00BB6FE8"/>
    <w:rsid w:val="00BB7C4C"/>
    <w:rsid w:val="00BB7CE6"/>
    <w:rsid w:val="00BB7EC5"/>
    <w:rsid w:val="00BC01C0"/>
    <w:rsid w:val="00BC023E"/>
    <w:rsid w:val="00BC2788"/>
    <w:rsid w:val="00BC306E"/>
    <w:rsid w:val="00BC3686"/>
    <w:rsid w:val="00BC4511"/>
    <w:rsid w:val="00BC45A2"/>
    <w:rsid w:val="00BC4794"/>
    <w:rsid w:val="00BC6F57"/>
    <w:rsid w:val="00BD0252"/>
    <w:rsid w:val="00BD1BCA"/>
    <w:rsid w:val="00BD2079"/>
    <w:rsid w:val="00BD3AD7"/>
    <w:rsid w:val="00BD4ACA"/>
    <w:rsid w:val="00BD6F35"/>
    <w:rsid w:val="00BE02B0"/>
    <w:rsid w:val="00BE0A49"/>
    <w:rsid w:val="00BE11C9"/>
    <w:rsid w:val="00BE1457"/>
    <w:rsid w:val="00BE535C"/>
    <w:rsid w:val="00BE668D"/>
    <w:rsid w:val="00BE7B1A"/>
    <w:rsid w:val="00BF11D9"/>
    <w:rsid w:val="00BF1B5C"/>
    <w:rsid w:val="00BF3096"/>
    <w:rsid w:val="00BF3722"/>
    <w:rsid w:val="00BF3F26"/>
    <w:rsid w:val="00BF57B8"/>
    <w:rsid w:val="00BF61EE"/>
    <w:rsid w:val="00BF6B92"/>
    <w:rsid w:val="00BF707E"/>
    <w:rsid w:val="00BF7A1A"/>
    <w:rsid w:val="00BF7D20"/>
    <w:rsid w:val="00C01E8A"/>
    <w:rsid w:val="00C02CE0"/>
    <w:rsid w:val="00C02F6C"/>
    <w:rsid w:val="00C034A7"/>
    <w:rsid w:val="00C040E9"/>
    <w:rsid w:val="00C050E7"/>
    <w:rsid w:val="00C063F3"/>
    <w:rsid w:val="00C0736D"/>
    <w:rsid w:val="00C102D5"/>
    <w:rsid w:val="00C10E2C"/>
    <w:rsid w:val="00C13AFC"/>
    <w:rsid w:val="00C13BE5"/>
    <w:rsid w:val="00C14CFD"/>
    <w:rsid w:val="00C15B81"/>
    <w:rsid w:val="00C15F1B"/>
    <w:rsid w:val="00C1643F"/>
    <w:rsid w:val="00C1719A"/>
    <w:rsid w:val="00C21015"/>
    <w:rsid w:val="00C21AE3"/>
    <w:rsid w:val="00C21D1A"/>
    <w:rsid w:val="00C223C6"/>
    <w:rsid w:val="00C2248E"/>
    <w:rsid w:val="00C231BC"/>
    <w:rsid w:val="00C23365"/>
    <w:rsid w:val="00C236E1"/>
    <w:rsid w:val="00C237C0"/>
    <w:rsid w:val="00C237C1"/>
    <w:rsid w:val="00C23B29"/>
    <w:rsid w:val="00C25EAE"/>
    <w:rsid w:val="00C31DFE"/>
    <w:rsid w:val="00C32FB5"/>
    <w:rsid w:val="00C33836"/>
    <w:rsid w:val="00C33C7A"/>
    <w:rsid w:val="00C34C17"/>
    <w:rsid w:val="00C365DE"/>
    <w:rsid w:val="00C36CA3"/>
    <w:rsid w:val="00C372BA"/>
    <w:rsid w:val="00C37D2F"/>
    <w:rsid w:val="00C40E5A"/>
    <w:rsid w:val="00C41AC8"/>
    <w:rsid w:val="00C42CC1"/>
    <w:rsid w:val="00C457D9"/>
    <w:rsid w:val="00C459A3"/>
    <w:rsid w:val="00C528E9"/>
    <w:rsid w:val="00C52EA7"/>
    <w:rsid w:val="00C52EB7"/>
    <w:rsid w:val="00C535A5"/>
    <w:rsid w:val="00C539D3"/>
    <w:rsid w:val="00C55766"/>
    <w:rsid w:val="00C56A63"/>
    <w:rsid w:val="00C57FF9"/>
    <w:rsid w:val="00C627C9"/>
    <w:rsid w:val="00C62F1D"/>
    <w:rsid w:val="00C63A0A"/>
    <w:rsid w:val="00C64D88"/>
    <w:rsid w:val="00C64EEE"/>
    <w:rsid w:val="00C652C1"/>
    <w:rsid w:val="00C65CE0"/>
    <w:rsid w:val="00C65DC0"/>
    <w:rsid w:val="00C66622"/>
    <w:rsid w:val="00C67B42"/>
    <w:rsid w:val="00C705E7"/>
    <w:rsid w:val="00C708E6"/>
    <w:rsid w:val="00C711B7"/>
    <w:rsid w:val="00C7181D"/>
    <w:rsid w:val="00C71BC9"/>
    <w:rsid w:val="00C72645"/>
    <w:rsid w:val="00C7367E"/>
    <w:rsid w:val="00C74C99"/>
    <w:rsid w:val="00C773D2"/>
    <w:rsid w:val="00C7782E"/>
    <w:rsid w:val="00C77F20"/>
    <w:rsid w:val="00C803C9"/>
    <w:rsid w:val="00C8139A"/>
    <w:rsid w:val="00C81BD2"/>
    <w:rsid w:val="00C81E1D"/>
    <w:rsid w:val="00C81E2B"/>
    <w:rsid w:val="00C82612"/>
    <w:rsid w:val="00C8296D"/>
    <w:rsid w:val="00C858F8"/>
    <w:rsid w:val="00C8598F"/>
    <w:rsid w:val="00C865F9"/>
    <w:rsid w:val="00C868EE"/>
    <w:rsid w:val="00C929C7"/>
    <w:rsid w:val="00C94951"/>
    <w:rsid w:val="00C9550D"/>
    <w:rsid w:val="00C957A4"/>
    <w:rsid w:val="00C96DFE"/>
    <w:rsid w:val="00C978C9"/>
    <w:rsid w:val="00C97B7B"/>
    <w:rsid w:val="00CA004A"/>
    <w:rsid w:val="00CA038A"/>
    <w:rsid w:val="00CA0598"/>
    <w:rsid w:val="00CA0C1A"/>
    <w:rsid w:val="00CA12FE"/>
    <w:rsid w:val="00CA2B85"/>
    <w:rsid w:val="00CA345D"/>
    <w:rsid w:val="00CA3D04"/>
    <w:rsid w:val="00CA4A94"/>
    <w:rsid w:val="00CA4C0A"/>
    <w:rsid w:val="00CA76A3"/>
    <w:rsid w:val="00CB0154"/>
    <w:rsid w:val="00CB1C89"/>
    <w:rsid w:val="00CB2B74"/>
    <w:rsid w:val="00CB340C"/>
    <w:rsid w:val="00CB4BC7"/>
    <w:rsid w:val="00CB555F"/>
    <w:rsid w:val="00CB5A6B"/>
    <w:rsid w:val="00CB6C5F"/>
    <w:rsid w:val="00CB775B"/>
    <w:rsid w:val="00CC0EEE"/>
    <w:rsid w:val="00CC1022"/>
    <w:rsid w:val="00CC1121"/>
    <w:rsid w:val="00CC174C"/>
    <w:rsid w:val="00CC2125"/>
    <w:rsid w:val="00CC2769"/>
    <w:rsid w:val="00CC3266"/>
    <w:rsid w:val="00CC3BFA"/>
    <w:rsid w:val="00CC3FF6"/>
    <w:rsid w:val="00CC5360"/>
    <w:rsid w:val="00CC5D14"/>
    <w:rsid w:val="00CC6079"/>
    <w:rsid w:val="00CC63D3"/>
    <w:rsid w:val="00CC6756"/>
    <w:rsid w:val="00CC6EDA"/>
    <w:rsid w:val="00CC7BF9"/>
    <w:rsid w:val="00CC7FBD"/>
    <w:rsid w:val="00CD0017"/>
    <w:rsid w:val="00CD051C"/>
    <w:rsid w:val="00CD0A4B"/>
    <w:rsid w:val="00CD0FC9"/>
    <w:rsid w:val="00CD13EB"/>
    <w:rsid w:val="00CD294C"/>
    <w:rsid w:val="00CD2EDE"/>
    <w:rsid w:val="00CD31DD"/>
    <w:rsid w:val="00CD43F6"/>
    <w:rsid w:val="00CD4422"/>
    <w:rsid w:val="00CD4DF9"/>
    <w:rsid w:val="00CD5A46"/>
    <w:rsid w:val="00CD6067"/>
    <w:rsid w:val="00CD7181"/>
    <w:rsid w:val="00CD7438"/>
    <w:rsid w:val="00CE0A0A"/>
    <w:rsid w:val="00CE19FE"/>
    <w:rsid w:val="00CE1A5B"/>
    <w:rsid w:val="00CE1E99"/>
    <w:rsid w:val="00CE20CA"/>
    <w:rsid w:val="00CE4882"/>
    <w:rsid w:val="00CE49D2"/>
    <w:rsid w:val="00CE4AB0"/>
    <w:rsid w:val="00CE51F2"/>
    <w:rsid w:val="00CE57E4"/>
    <w:rsid w:val="00CF161C"/>
    <w:rsid w:val="00CF4181"/>
    <w:rsid w:val="00CF53D0"/>
    <w:rsid w:val="00CF617C"/>
    <w:rsid w:val="00CF756C"/>
    <w:rsid w:val="00D01138"/>
    <w:rsid w:val="00D01BF6"/>
    <w:rsid w:val="00D02E76"/>
    <w:rsid w:val="00D04187"/>
    <w:rsid w:val="00D0452C"/>
    <w:rsid w:val="00D047B7"/>
    <w:rsid w:val="00D050A9"/>
    <w:rsid w:val="00D06806"/>
    <w:rsid w:val="00D10491"/>
    <w:rsid w:val="00D129CD"/>
    <w:rsid w:val="00D139D9"/>
    <w:rsid w:val="00D1534C"/>
    <w:rsid w:val="00D15683"/>
    <w:rsid w:val="00D15D17"/>
    <w:rsid w:val="00D15D8D"/>
    <w:rsid w:val="00D15F9B"/>
    <w:rsid w:val="00D16E27"/>
    <w:rsid w:val="00D20677"/>
    <w:rsid w:val="00D20EBD"/>
    <w:rsid w:val="00D21761"/>
    <w:rsid w:val="00D227AE"/>
    <w:rsid w:val="00D2371F"/>
    <w:rsid w:val="00D242EF"/>
    <w:rsid w:val="00D25A1E"/>
    <w:rsid w:val="00D25A8B"/>
    <w:rsid w:val="00D266D2"/>
    <w:rsid w:val="00D27728"/>
    <w:rsid w:val="00D30927"/>
    <w:rsid w:val="00D30FF5"/>
    <w:rsid w:val="00D31B50"/>
    <w:rsid w:val="00D31B6D"/>
    <w:rsid w:val="00D33C84"/>
    <w:rsid w:val="00D34791"/>
    <w:rsid w:val="00D37E5A"/>
    <w:rsid w:val="00D4178B"/>
    <w:rsid w:val="00D41FD6"/>
    <w:rsid w:val="00D43995"/>
    <w:rsid w:val="00D4418F"/>
    <w:rsid w:val="00D46F4E"/>
    <w:rsid w:val="00D475E7"/>
    <w:rsid w:val="00D50DE7"/>
    <w:rsid w:val="00D524E2"/>
    <w:rsid w:val="00D54342"/>
    <w:rsid w:val="00D55992"/>
    <w:rsid w:val="00D55B38"/>
    <w:rsid w:val="00D55B4F"/>
    <w:rsid w:val="00D573A4"/>
    <w:rsid w:val="00D573DA"/>
    <w:rsid w:val="00D6007C"/>
    <w:rsid w:val="00D6024A"/>
    <w:rsid w:val="00D62551"/>
    <w:rsid w:val="00D625F2"/>
    <w:rsid w:val="00D62892"/>
    <w:rsid w:val="00D62D1A"/>
    <w:rsid w:val="00D63733"/>
    <w:rsid w:val="00D666B5"/>
    <w:rsid w:val="00D667D5"/>
    <w:rsid w:val="00D669D4"/>
    <w:rsid w:val="00D72044"/>
    <w:rsid w:val="00D74436"/>
    <w:rsid w:val="00D748AD"/>
    <w:rsid w:val="00D74E39"/>
    <w:rsid w:val="00D75795"/>
    <w:rsid w:val="00D75F17"/>
    <w:rsid w:val="00D76598"/>
    <w:rsid w:val="00D810BA"/>
    <w:rsid w:val="00D844F6"/>
    <w:rsid w:val="00D848DE"/>
    <w:rsid w:val="00D85231"/>
    <w:rsid w:val="00D935F8"/>
    <w:rsid w:val="00D952F2"/>
    <w:rsid w:val="00D97A78"/>
    <w:rsid w:val="00DA1106"/>
    <w:rsid w:val="00DA3B9F"/>
    <w:rsid w:val="00DA440D"/>
    <w:rsid w:val="00DA55BF"/>
    <w:rsid w:val="00DA55C4"/>
    <w:rsid w:val="00DA5F71"/>
    <w:rsid w:val="00DA6413"/>
    <w:rsid w:val="00DB0476"/>
    <w:rsid w:val="00DB2822"/>
    <w:rsid w:val="00DB3064"/>
    <w:rsid w:val="00DB4321"/>
    <w:rsid w:val="00DB460B"/>
    <w:rsid w:val="00DB6FAA"/>
    <w:rsid w:val="00DB723A"/>
    <w:rsid w:val="00DC2C2A"/>
    <w:rsid w:val="00DC4713"/>
    <w:rsid w:val="00DC540F"/>
    <w:rsid w:val="00DC5DE0"/>
    <w:rsid w:val="00DC7518"/>
    <w:rsid w:val="00DD025C"/>
    <w:rsid w:val="00DD0263"/>
    <w:rsid w:val="00DD1F4E"/>
    <w:rsid w:val="00DD2C8E"/>
    <w:rsid w:val="00DD4290"/>
    <w:rsid w:val="00DD5666"/>
    <w:rsid w:val="00DD6861"/>
    <w:rsid w:val="00DD6E62"/>
    <w:rsid w:val="00DD720C"/>
    <w:rsid w:val="00DE381B"/>
    <w:rsid w:val="00DE3A77"/>
    <w:rsid w:val="00DE537E"/>
    <w:rsid w:val="00DE5932"/>
    <w:rsid w:val="00DF1D9B"/>
    <w:rsid w:val="00DF2559"/>
    <w:rsid w:val="00DF28E2"/>
    <w:rsid w:val="00DF516C"/>
    <w:rsid w:val="00DF6C9A"/>
    <w:rsid w:val="00DF74B2"/>
    <w:rsid w:val="00E017A0"/>
    <w:rsid w:val="00E02321"/>
    <w:rsid w:val="00E0356E"/>
    <w:rsid w:val="00E04B75"/>
    <w:rsid w:val="00E057A6"/>
    <w:rsid w:val="00E060AE"/>
    <w:rsid w:val="00E06D5C"/>
    <w:rsid w:val="00E1021E"/>
    <w:rsid w:val="00E12295"/>
    <w:rsid w:val="00E13D3A"/>
    <w:rsid w:val="00E143A1"/>
    <w:rsid w:val="00E15280"/>
    <w:rsid w:val="00E1622A"/>
    <w:rsid w:val="00E16802"/>
    <w:rsid w:val="00E17551"/>
    <w:rsid w:val="00E200EC"/>
    <w:rsid w:val="00E2040C"/>
    <w:rsid w:val="00E2171D"/>
    <w:rsid w:val="00E2401D"/>
    <w:rsid w:val="00E242BF"/>
    <w:rsid w:val="00E2453D"/>
    <w:rsid w:val="00E27AEB"/>
    <w:rsid w:val="00E31CF1"/>
    <w:rsid w:val="00E33471"/>
    <w:rsid w:val="00E33FDF"/>
    <w:rsid w:val="00E3467D"/>
    <w:rsid w:val="00E357AE"/>
    <w:rsid w:val="00E359E1"/>
    <w:rsid w:val="00E36D17"/>
    <w:rsid w:val="00E36D41"/>
    <w:rsid w:val="00E3760F"/>
    <w:rsid w:val="00E37A7F"/>
    <w:rsid w:val="00E403B9"/>
    <w:rsid w:val="00E4079C"/>
    <w:rsid w:val="00E40B97"/>
    <w:rsid w:val="00E41D39"/>
    <w:rsid w:val="00E4246C"/>
    <w:rsid w:val="00E42E0F"/>
    <w:rsid w:val="00E442F3"/>
    <w:rsid w:val="00E44753"/>
    <w:rsid w:val="00E46646"/>
    <w:rsid w:val="00E55B6A"/>
    <w:rsid w:val="00E564A2"/>
    <w:rsid w:val="00E60A3A"/>
    <w:rsid w:val="00E61412"/>
    <w:rsid w:val="00E72EA4"/>
    <w:rsid w:val="00E732E8"/>
    <w:rsid w:val="00E73427"/>
    <w:rsid w:val="00E74590"/>
    <w:rsid w:val="00E75022"/>
    <w:rsid w:val="00E756C7"/>
    <w:rsid w:val="00E805C5"/>
    <w:rsid w:val="00E80BC6"/>
    <w:rsid w:val="00E81E82"/>
    <w:rsid w:val="00E821C9"/>
    <w:rsid w:val="00E82274"/>
    <w:rsid w:val="00E8283E"/>
    <w:rsid w:val="00E82C06"/>
    <w:rsid w:val="00E82E84"/>
    <w:rsid w:val="00E832C2"/>
    <w:rsid w:val="00E835AF"/>
    <w:rsid w:val="00E84A26"/>
    <w:rsid w:val="00E84C78"/>
    <w:rsid w:val="00E84D78"/>
    <w:rsid w:val="00E85260"/>
    <w:rsid w:val="00E856D7"/>
    <w:rsid w:val="00E85B2C"/>
    <w:rsid w:val="00E8689D"/>
    <w:rsid w:val="00E876A8"/>
    <w:rsid w:val="00E87AC4"/>
    <w:rsid w:val="00E905E5"/>
    <w:rsid w:val="00E91580"/>
    <w:rsid w:val="00E916DE"/>
    <w:rsid w:val="00E9230E"/>
    <w:rsid w:val="00E949AD"/>
    <w:rsid w:val="00E9588C"/>
    <w:rsid w:val="00E95B09"/>
    <w:rsid w:val="00EA008B"/>
    <w:rsid w:val="00EA0B44"/>
    <w:rsid w:val="00EA18D0"/>
    <w:rsid w:val="00EA2C91"/>
    <w:rsid w:val="00EA4181"/>
    <w:rsid w:val="00EA491E"/>
    <w:rsid w:val="00EA5FC9"/>
    <w:rsid w:val="00EA716B"/>
    <w:rsid w:val="00EA7DB3"/>
    <w:rsid w:val="00EB1B07"/>
    <w:rsid w:val="00EB1D1A"/>
    <w:rsid w:val="00EB1FEB"/>
    <w:rsid w:val="00EB23D1"/>
    <w:rsid w:val="00EB316C"/>
    <w:rsid w:val="00EB3650"/>
    <w:rsid w:val="00EB3C5B"/>
    <w:rsid w:val="00EB427E"/>
    <w:rsid w:val="00EB455B"/>
    <w:rsid w:val="00EB4798"/>
    <w:rsid w:val="00EB5059"/>
    <w:rsid w:val="00EB5876"/>
    <w:rsid w:val="00EB596E"/>
    <w:rsid w:val="00EB6D92"/>
    <w:rsid w:val="00EB711D"/>
    <w:rsid w:val="00EC0A34"/>
    <w:rsid w:val="00EC1525"/>
    <w:rsid w:val="00EC2C32"/>
    <w:rsid w:val="00EC4664"/>
    <w:rsid w:val="00EC4BF6"/>
    <w:rsid w:val="00ED1407"/>
    <w:rsid w:val="00ED19A8"/>
    <w:rsid w:val="00ED299D"/>
    <w:rsid w:val="00ED3EEE"/>
    <w:rsid w:val="00ED46BC"/>
    <w:rsid w:val="00ED4D17"/>
    <w:rsid w:val="00ED5746"/>
    <w:rsid w:val="00ED6711"/>
    <w:rsid w:val="00ED6B58"/>
    <w:rsid w:val="00ED7E9A"/>
    <w:rsid w:val="00EE05B7"/>
    <w:rsid w:val="00EE5473"/>
    <w:rsid w:val="00EE5818"/>
    <w:rsid w:val="00EF0032"/>
    <w:rsid w:val="00EF11E5"/>
    <w:rsid w:val="00EF1714"/>
    <w:rsid w:val="00EF1B3A"/>
    <w:rsid w:val="00EF1FE4"/>
    <w:rsid w:val="00EF281F"/>
    <w:rsid w:val="00EF2DB2"/>
    <w:rsid w:val="00EF345C"/>
    <w:rsid w:val="00EF4184"/>
    <w:rsid w:val="00EF4B92"/>
    <w:rsid w:val="00F00F09"/>
    <w:rsid w:val="00F02A75"/>
    <w:rsid w:val="00F03A7E"/>
    <w:rsid w:val="00F04143"/>
    <w:rsid w:val="00F055DE"/>
    <w:rsid w:val="00F06076"/>
    <w:rsid w:val="00F06B0D"/>
    <w:rsid w:val="00F12748"/>
    <w:rsid w:val="00F14151"/>
    <w:rsid w:val="00F14900"/>
    <w:rsid w:val="00F15C43"/>
    <w:rsid w:val="00F1664E"/>
    <w:rsid w:val="00F179F1"/>
    <w:rsid w:val="00F21C75"/>
    <w:rsid w:val="00F25B99"/>
    <w:rsid w:val="00F260F2"/>
    <w:rsid w:val="00F26D7B"/>
    <w:rsid w:val="00F27230"/>
    <w:rsid w:val="00F27747"/>
    <w:rsid w:val="00F27DAA"/>
    <w:rsid w:val="00F30226"/>
    <w:rsid w:val="00F30467"/>
    <w:rsid w:val="00F316B4"/>
    <w:rsid w:val="00F32130"/>
    <w:rsid w:val="00F34A14"/>
    <w:rsid w:val="00F417EF"/>
    <w:rsid w:val="00F42204"/>
    <w:rsid w:val="00F42CC2"/>
    <w:rsid w:val="00F44390"/>
    <w:rsid w:val="00F451C7"/>
    <w:rsid w:val="00F46EB2"/>
    <w:rsid w:val="00F509F7"/>
    <w:rsid w:val="00F5108D"/>
    <w:rsid w:val="00F511B6"/>
    <w:rsid w:val="00F5238A"/>
    <w:rsid w:val="00F52BCF"/>
    <w:rsid w:val="00F53E82"/>
    <w:rsid w:val="00F540D0"/>
    <w:rsid w:val="00F5550A"/>
    <w:rsid w:val="00F555F7"/>
    <w:rsid w:val="00F57983"/>
    <w:rsid w:val="00F57ADA"/>
    <w:rsid w:val="00F612B5"/>
    <w:rsid w:val="00F61D5A"/>
    <w:rsid w:val="00F61F26"/>
    <w:rsid w:val="00F62402"/>
    <w:rsid w:val="00F63C3B"/>
    <w:rsid w:val="00F66FD0"/>
    <w:rsid w:val="00F67384"/>
    <w:rsid w:val="00F70854"/>
    <w:rsid w:val="00F708A9"/>
    <w:rsid w:val="00F711D3"/>
    <w:rsid w:val="00F71C18"/>
    <w:rsid w:val="00F72705"/>
    <w:rsid w:val="00F73964"/>
    <w:rsid w:val="00F83743"/>
    <w:rsid w:val="00F83B9C"/>
    <w:rsid w:val="00F83D67"/>
    <w:rsid w:val="00F84EA6"/>
    <w:rsid w:val="00F853D1"/>
    <w:rsid w:val="00F860A0"/>
    <w:rsid w:val="00F86C92"/>
    <w:rsid w:val="00F87905"/>
    <w:rsid w:val="00F87A2D"/>
    <w:rsid w:val="00F91732"/>
    <w:rsid w:val="00F93B0E"/>
    <w:rsid w:val="00F96563"/>
    <w:rsid w:val="00F977C6"/>
    <w:rsid w:val="00FA0157"/>
    <w:rsid w:val="00FA2E8A"/>
    <w:rsid w:val="00FA382F"/>
    <w:rsid w:val="00FA40D4"/>
    <w:rsid w:val="00FA41E7"/>
    <w:rsid w:val="00FA4503"/>
    <w:rsid w:val="00FA59CE"/>
    <w:rsid w:val="00FA6122"/>
    <w:rsid w:val="00FB22A9"/>
    <w:rsid w:val="00FB29C6"/>
    <w:rsid w:val="00FB3F31"/>
    <w:rsid w:val="00FB452F"/>
    <w:rsid w:val="00FB48B6"/>
    <w:rsid w:val="00FB4F89"/>
    <w:rsid w:val="00FB584B"/>
    <w:rsid w:val="00FB5E63"/>
    <w:rsid w:val="00FB7ABA"/>
    <w:rsid w:val="00FC03D2"/>
    <w:rsid w:val="00FC0429"/>
    <w:rsid w:val="00FC140A"/>
    <w:rsid w:val="00FC2A44"/>
    <w:rsid w:val="00FC5BB8"/>
    <w:rsid w:val="00FC5C2F"/>
    <w:rsid w:val="00FD0073"/>
    <w:rsid w:val="00FD0C43"/>
    <w:rsid w:val="00FD0C89"/>
    <w:rsid w:val="00FD3AF2"/>
    <w:rsid w:val="00FD47DD"/>
    <w:rsid w:val="00FD4E21"/>
    <w:rsid w:val="00FD5163"/>
    <w:rsid w:val="00FD6698"/>
    <w:rsid w:val="00FE0A8F"/>
    <w:rsid w:val="00FE1BCD"/>
    <w:rsid w:val="00FE2C83"/>
    <w:rsid w:val="00FE2E09"/>
    <w:rsid w:val="00FE389A"/>
    <w:rsid w:val="00FE5C14"/>
    <w:rsid w:val="00FE7AAB"/>
    <w:rsid w:val="00FF05C6"/>
    <w:rsid w:val="00FF3FF4"/>
    <w:rsid w:val="00FF55E3"/>
    <w:rsid w:val="00FF6100"/>
    <w:rsid w:val="0120EE26"/>
    <w:rsid w:val="019C028F"/>
    <w:rsid w:val="01A42FFD"/>
    <w:rsid w:val="01D566A3"/>
    <w:rsid w:val="02E155C7"/>
    <w:rsid w:val="02F71CBC"/>
    <w:rsid w:val="036B7392"/>
    <w:rsid w:val="0390B32F"/>
    <w:rsid w:val="0396188B"/>
    <w:rsid w:val="039FEBEE"/>
    <w:rsid w:val="03BD4D24"/>
    <w:rsid w:val="0498E7E5"/>
    <w:rsid w:val="04A75F85"/>
    <w:rsid w:val="04E4B975"/>
    <w:rsid w:val="050C6F8B"/>
    <w:rsid w:val="0623428A"/>
    <w:rsid w:val="063AE167"/>
    <w:rsid w:val="0671A895"/>
    <w:rsid w:val="06A1D57D"/>
    <w:rsid w:val="06DEEB41"/>
    <w:rsid w:val="07358BEF"/>
    <w:rsid w:val="073D3CC5"/>
    <w:rsid w:val="0779C3BE"/>
    <w:rsid w:val="077EDD2D"/>
    <w:rsid w:val="0791518C"/>
    <w:rsid w:val="07D2A2A3"/>
    <w:rsid w:val="08108AC0"/>
    <w:rsid w:val="0825AD3B"/>
    <w:rsid w:val="084C8B6F"/>
    <w:rsid w:val="085D4820"/>
    <w:rsid w:val="087427C8"/>
    <w:rsid w:val="08CD936B"/>
    <w:rsid w:val="09179F88"/>
    <w:rsid w:val="0937095C"/>
    <w:rsid w:val="09F88D91"/>
    <w:rsid w:val="0A471BD7"/>
    <w:rsid w:val="0A62470A"/>
    <w:rsid w:val="0A70BF5A"/>
    <w:rsid w:val="0AA0EA88"/>
    <w:rsid w:val="0AF9494E"/>
    <w:rsid w:val="0B37CACD"/>
    <w:rsid w:val="0B4A237C"/>
    <w:rsid w:val="0C565E15"/>
    <w:rsid w:val="0C591FDB"/>
    <w:rsid w:val="0C6A9768"/>
    <w:rsid w:val="0C7844BA"/>
    <w:rsid w:val="0D14BDA3"/>
    <w:rsid w:val="0D247899"/>
    <w:rsid w:val="0D36ECB8"/>
    <w:rsid w:val="0D5C1E09"/>
    <w:rsid w:val="0DDBD2F8"/>
    <w:rsid w:val="0E6181E6"/>
    <w:rsid w:val="0EDCBFC6"/>
    <w:rsid w:val="0F048B8B"/>
    <w:rsid w:val="0F4BC2FA"/>
    <w:rsid w:val="0F9B9A23"/>
    <w:rsid w:val="10FF72A5"/>
    <w:rsid w:val="1126C8CD"/>
    <w:rsid w:val="116C0A52"/>
    <w:rsid w:val="117D9A43"/>
    <w:rsid w:val="11F4B1A0"/>
    <w:rsid w:val="123198AD"/>
    <w:rsid w:val="12F4E745"/>
    <w:rsid w:val="134AEE12"/>
    <w:rsid w:val="1351B110"/>
    <w:rsid w:val="13576B64"/>
    <w:rsid w:val="1358CDD2"/>
    <w:rsid w:val="13F508FF"/>
    <w:rsid w:val="1415A2E7"/>
    <w:rsid w:val="14190528"/>
    <w:rsid w:val="148D8788"/>
    <w:rsid w:val="14F49A16"/>
    <w:rsid w:val="150D7977"/>
    <w:rsid w:val="1540EE35"/>
    <w:rsid w:val="15715A51"/>
    <w:rsid w:val="15D55255"/>
    <w:rsid w:val="15FB00EB"/>
    <w:rsid w:val="160D9B1E"/>
    <w:rsid w:val="1680571A"/>
    <w:rsid w:val="16F0BEE4"/>
    <w:rsid w:val="1713E374"/>
    <w:rsid w:val="1721DFFA"/>
    <w:rsid w:val="175FA7E2"/>
    <w:rsid w:val="18325249"/>
    <w:rsid w:val="18372674"/>
    <w:rsid w:val="183D1108"/>
    <w:rsid w:val="183E7475"/>
    <w:rsid w:val="1846B6E3"/>
    <w:rsid w:val="1890150A"/>
    <w:rsid w:val="18936BEE"/>
    <w:rsid w:val="18AF7A2A"/>
    <w:rsid w:val="19241A9D"/>
    <w:rsid w:val="1999325E"/>
    <w:rsid w:val="19AF27BB"/>
    <w:rsid w:val="19E0D19F"/>
    <w:rsid w:val="1A21DC80"/>
    <w:rsid w:val="1A2E84F4"/>
    <w:rsid w:val="1A38F570"/>
    <w:rsid w:val="1A41D32D"/>
    <w:rsid w:val="1A648B15"/>
    <w:rsid w:val="1AA2FFDE"/>
    <w:rsid w:val="1ABC4F39"/>
    <w:rsid w:val="1B0237F1"/>
    <w:rsid w:val="1B1B299F"/>
    <w:rsid w:val="1B243286"/>
    <w:rsid w:val="1BC3B54C"/>
    <w:rsid w:val="1BCAD9AB"/>
    <w:rsid w:val="1BD3C5AC"/>
    <w:rsid w:val="1BF81A05"/>
    <w:rsid w:val="1C032BB9"/>
    <w:rsid w:val="1C2E6725"/>
    <w:rsid w:val="1C2F45A5"/>
    <w:rsid w:val="1C41E3B1"/>
    <w:rsid w:val="1C83E2F0"/>
    <w:rsid w:val="1C90EE9A"/>
    <w:rsid w:val="1D1FAAB9"/>
    <w:rsid w:val="1E5F0970"/>
    <w:rsid w:val="1F649D51"/>
    <w:rsid w:val="1F718EED"/>
    <w:rsid w:val="1F9FA336"/>
    <w:rsid w:val="1FF3F674"/>
    <w:rsid w:val="203D76C4"/>
    <w:rsid w:val="20878EAF"/>
    <w:rsid w:val="20AAAD87"/>
    <w:rsid w:val="21981D7A"/>
    <w:rsid w:val="2199F357"/>
    <w:rsid w:val="21BDFB3F"/>
    <w:rsid w:val="21C3B347"/>
    <w:rsid w:val="21DB4B48"/>
    <w:rsid w:val="22298520"/>
    <w:rsid w:val="22431951"/>
    <w:rsid w:val="2289190B"/>
    <w:rsid w:val="2295115F"/>
    <w:rsid w:val="22E300E8"/>
    <w:rsid w:val="232BF767"/>
    <w:rsid w:val="2407C2F5"/>
    <w:rsid w:val="240D367F"/>
    <w:rsid w:val="24D6220F"/>
    <w:rsid w:val="2514D57A"/>
    <w:rsid w:val="253EB780"/>
    <w:rsid w:val="25B94E30"/>
    <w:rsid w:val="25C5D0AA"/>
    <w:rsid w:val="25D1BA0A"/>
    <w:rsid w:val="261FDB06"/>
    <w:rsid w:val="265122BC"/>
    <w:rsid w:val="268A7AC9"/>
    <w:rsid w:val="26F514B6"/>
    <w:rsid w:val="2731D95A"/>
    <w:rsid w:val="274612E4"/>
    <w:rsid w:val="27C028C2"/>
    <w:rsid w:val="27C26120"/>
    <w:rsid w:val="28606902"/>
    <w:rsid w:val="28725E8D"/>
    <w:rsid w:val="296B8CAF"/>
    <w:rsid w:val="299366CA"/>
    <w:rsid w:val="29C25F08"/>
    <w:rsid w:val="2A52B32A"/>
    <w:rsid w:val="2ACDF962"/>
    <w:rsid w:val="2B7274F2"/>
    <w:rsid w:val="2B9E0CC6"/>
    <w:rsid w:val="2BDC4E3D"/>
    <w:rsid w:val="2CA80BA9"/>
    <w:rsid w:val="2D185F7B"/>
    <w:rsid w:val="2D65FE87"/>
    <w:rsid w:val="2E42D4AC"/>
    <w:rsid w:val="2E507CA3"/>
    <w:rsid w:val="2E6F5B63"/>
    <w:rsid w:val="2F28584C"/>
    <w:rsid w:val="2F51D30A"/>
    <w:rsid w:val="2F92A2A1"/>
    <w:rsid w:val="303B9CAB"/>
    <w:rsid w:val="3087D927"/>
    <w:rsid w:val="308925FC"/>
    <w:rsid w:val="3094DCA4"/>
    <w:rsid w:val="30ED375B"/>
    <w:rsid w:val="31146857"/>
    <w:rsid w:val="31164ADC"/>
    <w:rsid w:val="312E252B"/>
    <w:rsid w:val="3177750A"/>
    <w:rsid w:val="318A2259"/>
    <w:rsid w:val="31D2D07A"/>
    <w:rsid w:val="32182178"/>
    <w:rsid w:val="3244EE6C"/>
    <w:rsid w:val="32C61FBA"/>
    <w:rsid w:val="3374385B"/>
    <w:rsid w:val="33BB2A06"/>
    <w:rsid w:val="33E91056"/>
    <w:rsid w:val="344D73CD"/>
    <w:rsid w:val="35742EED"/>
    <w:rsid w:val="36113433"/>
    <w:rsid w:val="36D2CACB"/>
    <w:rsid w:val="374030CA"/>
    <w:rsid w:val="377FFCF7"/>
    <w:rsid w:val="387455E3"/>
    <w:rsid w:val="38FA5DE4"/>
    <w:rsid w:val="391CDEE2"/>
    <w:rsid w:val="39599B9F"/>
    <w:rsid w:val="3A2DF501"/>
    <w:rsid w:val="3A5D0DB8"/>
    <w:rsid w:val="3A8E6F08"/>
    <w:rsid w:val="3AD2FB80"/>
    <w:rsid w:val="3B07586D"/>
    <w:rsid w:val="3B83BFC5"/>
    <w:rsid w:val="3BC2FE92"/>
    <w:rsid w:val="3BF1D3B2"/>
    <w:rsid w:val="3BFB48EF"/>
    <w:rsid w:val="3C21E111"/>
    <w:rsid w:val="3C491C71"/>
    <w:rsid w:val="3CB8E619"/>
    <w:rsid w:val="3CC03DCD"/>
    <w:rsid w:val="3CD5B5F6"/>
    <w:rsid w:val="3CDCA67C"/>
    <w:rsid w:val="3D81F80F"/>
    <w:rsid w:val="3D840FD7"/>
    <w:rsid w:val="3DACE231"/>
    <w:rsid w:val="3E32C17A"/>
    <w:rsid w:val="3E9413CF"/>
    <w:rsid w:val="3EDCFDE7"/>
    <w:rsid w:val="3F10B008"/>
    <w:rsid w:val="3F7CB456"/>
    <w:rsid w:val="3F7D3562"/>
    <w:rsid w:val="3F98B604"/>
    <w:rsid w:val="40327E1A"/>
    <w:rsid w:val="405C4E9A"/>
    <w:rsid w:val="40CD3B54"/>
    <w:rsid w:val="411A60E0"/>
    <w:rsid w:val="41EFE4B0"/>
    <w:rsid w:val="41F822B5"/>
    <w:rsid w:val="4241A0ED"/>
    <w:rsid w:val="4243FEEF"/>
    <w:rsid w:val="426AD17B"/>
    <w:rsid w:val="427B682A"/>
    <w:rsid w:val="42AEDB5F"/>
    <w:rsid w:val="4344E685"/>
    <w:rsid w:val="43867E9B"/>
    <w:rsid w:val="43AA87CF"/>
    <w:rsid w:val="43AB08FA"/>
    <w:rsid w:val="43D2423D"/>
    <w:rsid w:val="44243898"/>
    <w:rsid w:val="44D7744F"/>
    <w:rsid w:val="4510754D"/>
    <w:rsid w:val="4560F3CE"/>
    <w:rsid w:val="45CE96C1"/>
    <w:rsid w:val="45F3FEFA"/>
    <w:rsid w:val="4698A55C"/>
    <w:rsid w:val="47661552"/>
    <w:rsid w:val="47F9830B"/>
    <w:rsid w:val="481B47A0"/>
    <w:rsid w:val="487F0194"/>
    <w:rsid w:val="488297C1"/>
    <w:rsid w:val="4892D5B6"/>
    <w:rsid w:val="49069C46"/>
    <w:rsid w:val="4980B50F"/>
    <w:rsid w:val="49A929A2"/>
    <w:rsid w:val="49E81E0A"/>
    <w:rsid w:val="49F1A809"/>
    <w:rsid w:val="49FE80F6"/>
    <w:rsid w:val="4AA95D99"/>
    <w:rsid w:val="4AB31F9A"/>
    <w:rsid w:val="4ABAFBA5"/>
    <w:rsid w:val="4AE33B3E"/>
    <w:rsid w:val="4B93D6B6"/>
    <w:rsid w:val="4BB282E1"/>
    <w:rsid w:val="4C186065"/>
    <w:rsid w:val="4C32CAEB"/>
    <w:rsid w:val="4C8CEC1C"/>
    <w:rsid w:val="4CB86B11"/>
    <w:rsid w:val="4CBA005C"/>
    <w:rsid w:val="4CD8C34E"/>
    <w:rsid w:val="4D371F0B"/>
    <w:rsid w:val="4D944104"/>
    <w:rsid w:val="4D9C8297"/>
    <w:rsid w:val="4E7156DA"/>
    <w:rsid w:val="4E982D32"/>
    <w:rsid w:val="4F1CAE2F"/>
    <w:rsid w:val="4F278DDB"/>
    <w:rsid w:val="4F4DBFCC"/>
    <w:rsid w:val="50830B0D"/>
    <w:rsid w:val="50BB1127"/>
    <w:rsid w:val="50FCEE4D"/>
    <w:rsid w:val="512FA7B8"/>
    <w:rsid w:val="51A82006"/>
    <w:rsid w:val="51E16025"/>
    <w:rsid w:val="52043912"/>
    <w:rsid w:val="520BAD01"/>
    <w:rsid w:val="5260F580"/>
    <w:rsid w:val="5283157D"/>
    <w:rsid w:val="52B51AC3"/>
    <w:rsid w:val="52B6EA2A"/>
    <w:rsid w:val="530C2EBB"/>
    <w:rsid w:val="5333A1EB"/>
    <w:rsid w:val="5341EC67"/>
    <w:rsid w:val="53AE58AD"/>
    <w:rsid w:val="541E4F0A"/>
    <w:rsid w:val="5467B0E2"/>
    <w:rsid w:val="5484B215"/>
    <w:rsid w:val="5486C834"/>
    <w:rsid w:val="55853FFA"/>
    <w:rsid w:val="55E898A7"/>
    <w:rsid w:val="5609D80A"/>
    <w:rsid w:val="5637066D"/>
    <w:rsid w:val="56A5B2ED"/>
    <w:rsid w:val="56B89BE9"/>
    <w:rsid w:val="56D805F5"/>
    <w:rsid w:val="570FE88F"/>
    <w:rsid w:val="574108A3"/>
    <w:rsid w:val="57923EED"/>
    <w:rsid w:val="5797B2A7"/>
    <w:rsid w:val="57C11799"/>
    <w:rsid w:val="57E236B1"/>
    <w:rsid w:val="57EA1502"/>
    <w:rsid w:val="58A0329C"/>
    <w:rsid w:val="58D151C3"/>
    <w:rsid w:val="590DAB64"/>
    <w:rsid w:val="59CCDA67"/>
    <w:rsid w:val="59ED2071"/>
    <w:rsid w:val="5A182774"/>
    <w:rsid w:val="5A3D1CAD"/>
    <w:rsid w:val="5A95A8F9"/>
    <w:rsid w:val="5ACECEED"/>
    <w:rsid w:val="5B943D78"/>
    <w:rsid w:val="5BEBBB6F"/>
    <w:rsid w:val="5CEF21A0"/>
    <w:rsid w:val="5D4B17C6"/>
    <w:rsid w:val="5DCF0084"/>
    <w:rsid w:val="5DD42A88"/>
    <w:rsid w:val="5DF367F5"/>
    <w:rsid w:val="5E221DC7"/>
    <w:rsid w:val="5FFB7F2F"/>
    <w:rsid w:val="602A4B92"/>
    <w:rsid w:val="60B889F3"/>
    <w:rsid w:val="60E31BB6"/>
    <w:rsid w:val="60E655AC"/>
    <w:rsid w:val="6149190A"/>
    <w:rsid w:val="6191212B"/>
    <w:rsid w:val="61A32446"/>
    <w:rsid w:val="61CE768F"/>
    <w:rsid w:val="624D8F94"/>
    <w:rsid w:val="62678AC9"/>
    <w:rsid w:val="62713432"/>
    <w:rsid w:val="62C4E755"/>
    <w:rsid w:val="62D6335D"/>
    <w:rsid w:val="6318DEAE"/>
    <w:rsid w:val="6340ECE5"/>
    <w:rsid w:val="634BFD78"/>
    <w:rsid w:val="63797A9D"/>
    <w:rsid w:val="638CD440"/>
    <w:rsid w:val="639EF729"/>
    <w:rsid w:val="63A4967F"/>
    <w:rsid w:val="63B4B195"/>
    <w:rsid w:val="64529A3C"/>
    <w:rsid w:val="645EE6B6"/>
    <w:rsid w:val="648C0B36"/>
    <w:rsid w:val="64ABC9F0"/>
    <w:rsid w:val="64D01C71"/>
    <w:rsid w:val="64DBDAD3"/>
    <w:rsid w:val="65883516"/>
    <w:rsid w:val="65A581A4"/>
    <w:rsid w:val="65EFADF6"/>
    <w:rsid w:val="664A9EBA"/>
    <w:rsid w:val="667A9B7E"/>
    <w:rsid w:val="667E886F"/>
    <w:rsid w:val="671D3E64"/>
    <w:rsid w:val="673A1E66"/>
    <w:rsid w:val="67402D95"/>
    <w:rsid w:val="6817B2AF"/>
    <w:rsid w:val="683ADC94"/>
    <w:rsid w:val="696C73F8"/>
    <w:rsid w:val="696D90CB"/>
    <w:rsid w:val="69DE95EE"/>
    <w:rsid w:val="69F8FD67"/>
    <w:rsid w:val="6A0E6ED2"/>
    <w:rsid w:val="6B20E4B6"/>
    <w:rsid w:val="6B4EC36F"/>
    <w:rsid w:val="6B5F2896"/>
    <w:rsid w:val="6C26D76B"/>
    <w:rsid w:val="6CF0C9E3"/>
    <w:rsid w:val="6DBCC6F0"/>
    <w:rsid w:val="6DEB5B0B"/>
    <w:rsid w:val="6E75A8CF"/>
    <w:rsid w:val="6EB0370C"/>
    <w:rsid w:val="6EF176EB"/>
    <w:rsid w:val="6F9FE35A"/>
    <w:rsid w:val="7089A8F5"/>
    <w:rsid w:val="70B94274"/>
    <w:rsid w:val="70EFC018"/>
    <w:rsid w:val="711780C2"/>
    <w:rsid w:val="7122A11A"/>
    <w:rsid w:val="71539CC3"/>
    <w:rsid w:val="719DB31E"/>
    <w:rsid w:val="7219947F"/>
    <w:rsid w:val="72601BF6"/>
    <w:rsid w:val="726A2B98"/>
    <w:rsid w:val="72A39061"/>
    <w:rsid w:val="72B35123"/>
    <w:rsid w:val="72D2F1D4"/>
    <w:rsid w:val="72ED429E"/>
    <w:rsid w:val="7310630F"/>
    <w:rsid w:val="7338ADD8"/>
    <w:rsid w:val="733E31E9"/>
    <w:rsid w:val="73E77B15"/>
    <w:rsid w:val="74A0921A"/>
    <w:rsid w:val="75629003"/>
    <w:rsid w:val="7566F9D7"/>
    <w:rsid w:val="75CCBABE"/>
    <w:rsid w:val="75EFDE5B"/>
    <w:rsid w:val="762D3743"/>
    <w:rsid w:val="7641FEF6"/>
    <w:rsid w:val="7700BF6D"/>
    <w:rsid w:val="779A8DF1"/>
    <w:rsid w:val="779EDE92"/>
    <w:rsid w:val="77A36889"/>
    <w:rsid w:val="77F1C8E7"/>
    <w:rsid w:val="780C031B"/>
    <w:rsid w:val="78B6A478"/>
    <w:rsid w:val="78FD0387"/>
    <w:rsid w:val="790EFE0F"/>
    <w:rsid w:val="79881804"/>
    <w:rsid w:val="7A1D1714"/>
    <w:rsid w:val="7A22B118"/>
    <w:rsid w:val="7A635CFB"/>
    <w:rsid w:val="7B0459DC"/>
    <w:rsid w:val="7BA67DAE"/>
    <w:rsid w:val="7C3B0CDF"/>
    <w:rsid w:val="7CBF18DD"/>
    <w:rsid w:val="7CD729B8"/>
    <w:rsid w:val="7D917BC6"/>
    <w:rsid w:val="7DDE4BE5"/>
    <w:rsid w:val="7DF4A759"/>
    <w:rsid w:val="7E07D93D"/>
    <w:rsid w:val="7E8CC00C"/>
    <w:rsid w:val="7ED4F32C"/>
    <w:rsid w:val="7F04C33E"/>
    <w:rsid w:val="7F298AF9"/>
    <w:rsid w:val="7F7BD71B"/>
    <w:rsid w:val="7F9F3532"/>
    <w:rsid w:val="7FA10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1B889"/>
  <w15:chartTrackingRefBased/>
  <w15:docId w15:val="{D34A557F-D78F-40E4-B646-AD4609E6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uiPriority="1"/>
    <w:lsdException w:name="Body Text" w:uiPriority="1" w:qFormat="1"/>
    <w:lsdException w:name="Subtitle" w:locked="1" w:qFormat="1"/>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D31"/>
    <w:rPr>
      <w:sz w:val="24"/>
      <w:szCs w:val="24"/>
    </w:rPr>
  </w:style>
  <w:style w:type="paragraph" w:styleId="Heading1">
    <w:name w:val="heading 1"/>
    <w:basedOn w:val="Normal"/>
    <w:next w:val="Normal"/>
    <w:link w:val="Heading1Char"/>
    <w:qFormat/>
    <w:locked/>
    <w:rsid w:val="008122AF"/>
    <w:pPr>
      <w:keepNext/>
      <w:numPr>
        <w:numId w:val="4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DF1D9B"/>
    <w:pPr>
      <w:keepNext/>
      <w:keepLines/>
      <w:numPr>
        <w:ilvl w:val="1"/>
        <w:numId w:val="4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locked/>
    <w:rsid w:val="00DF1D9B"/>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locked/>
    <w:rsid w:val="00DF1D9B"/>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DF1D9B"/>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locked/>
    <w:rsid w:val="00DF1D9B"/>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locked/>
    <w:rsid w:val="00DF1D9B"/>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locked/>
    <w:rsid w:val="00DF1D9B"/>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DF1D9B"/>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50685"/>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Default">
    <w:name w:val="Default"/>
    <w:rsid w:val="00450685"/>
    <w:pPr>
      <w:widowControl w:val="0"/>
      <w:autoSpaceDE w:val="0"/>
      <w:autoSpaceDN w:val="0"/>
      <w:adjustRightInd w:val="0"/>
    </w:pPr>
    <w:rPr>
      <w:color w:val="000000"/>
      <w:sz w:val="24"/>
      <w:szCs w:val="24"/>
    </w:rPr>
  </w:style>
  <w:style w:type="paragraph" w:customStyle="1" w:styleId="Default1">
    <w:name w:val="Default1"/>
    <w:basedOn w:val="Default"/>
    <w:next w:val="Default"/>
    <w:rsid w:val="00450685"/>
    <w:pPr>
      <w:spacing w:after="240"/>
    </w:pPr>
    <w:rPr>
      <w:color w:val="auto"/>
    </w:rPr>
  </w:style>
  <w:style w:type="paragraph" w:styleId="Header">
    <w:name w:val="header"/>
    <w:basedOn w:val="Normal"/>
    <w:link w:val="HeaderChar"/>
    <w:rsid w:val="00191814"/>
    <w:pPr>
      <w:tabs>
        <w:tab w:val="center" w:pos="4320"/>
        <w:tab w:val="right" w:pos="8640"/>
      </w:tabs>
    </w:p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191814"/>
    <w:pPr>
      <w:tabs>
        <w:tab w:val="center" w:pos="4320"/>
        <w:tab w:val="right" w:pos="8640"/>
      </w:tabs>
    </w:pPr>
  </w:style>
  <w:style w:type="character" w:customStyle="1" w:styleId="FooterChar">
    <w:name w:val="Footer Char"/>
    <w:link w:val="Footer"/>
    <w:semiHidden/>
    <w:locked/>
    <w:rPr>
      <w:rFonts w:cs="Times New Roman"/>
      <w:sz w:val="24"/>
      <w:szCs w:val="24"/>
    </w:rPr>
  </w:style>
  <w:style w:type="paragraph" w:styleId="FootnoteText">
    <w:name w:val="footnote text"/>
    <w:basedOn w:val="Normal"/>
    <w:link w:val="FootnoteTextChar"/>
    <w:semiHidden/>
    <w:rsid w:val="009C7B57"/>
    <w:rPr>
      <w:sz w:val="20"/>
      <w:szCs w:val="20"/>
    </w:rPr>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9C7B57"/>
    <w:rPr>
      <w:rFonts w:cs="Times New Roman"/>
      <w:vertAlign w:val="superscript"/>
    </w:rPr>
  </w:style>
  <w:style w:type="character" w:styleId="CommentReference">
    <w:name w:val="annotation reference"/>
    <w:uiPriority w:val="99"/>
    <w:semiHidden/>
    <w:rsid w:val="00015708"/>
    <w:rPr>
      <w:rFonts w:cs="Times New Roman"/>
      <w:sz w:val="16"/>
      <w:szCs w:val="16"/>
    </w:rPr>
  </w:style>
  <w:style w:type="paragraph" w:styleId="CommentText">
    <w:name w:val="annotation text"/>
    <w:basedOn w:val="Normal"/>
    <w:link w:val="CommentTextChar"/>
    <w:uiPriority w:val="99"/>
    <w:semiHidden/>
    <w:rsid w:val="00015708"/>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semiHidden/>
    <w:rsid w:val="00015708"/>
    <w:rPr>
      <w:b/>
      <w:bCs/>
    </w:rPr>
  </w:style>
  <w:style w:type="character" w:customStyle="1" w:styleId="CommentSubjectChar">
    <w:name w:val="Comment Subject Char"/>
    <w:link w:val="CommentSubject"/>
    <w:semiHidden/>
    <w:locked/>
    <w:rPr>
      <w:rFonts w:cs="Times New Roman"/>
      <w:b/>
      <w:bCs/>
      <w:sz w:val="20"/>
      <w:szCs w:val="20"/>
    </w:rPr>
  </w:style>
  <w:style w:type="character" w:customStyle="1" w:styleId="Heading1Char">
    <w:name w:val="Heading 1 Char"/>
    <w:link w:val="Heading1"/>
    <w:rsid w:val="008122AF"/>
    <w:rPr>
      <w:rFonts w:ascii="Calibri Light" w:hAnsi="Calibri Light"/>
      <w:b/>
      <w:bCs/>
      <w:kern w:val="32"/>
      <w:sz w:val="32"/>
      <w:szCs w:val="32"/>
    </w:rPr>
  </w:style>
  <w:style w:type="paragraph" w:styleId="NoSpacing">
    <w:name w:val="No Spacing"/>
    <w:uiPriority w:val="1"/>
    <w:qFormat/>
    <w:rsid w:val="008122AF"/>
  </w:style>
  <w:style w:type="character" w:styleId="Strong">
    <w:name w:val="Strong"/>
    <w:qFormat/>
    <w:locked/>
    <w:rsid w:val="00946CBB"/>
    <w:rPr>
      <w:b/>
      <w:bCs/>
    </w:rPr>
  </w:style>
  <w:style w:type="paragraph" w:styleId="EndnoteText">
    <w:name w:val="endnote text"/>
    <w:basedOn w:val="Normal"/>
    <w:link w:val="EndnoteTextChar"/>
    <w:rsid w:val="00D72044"/>
    <w:rPr>
      <w:sz w:val="20"/>
      <w:szCs w:val="20"/>
    </w:rPr>
  </w:style>
  <w:style w:type="character" w:customStyle="1" w:styleId="EndnoteTextChar">
    <w:name w:val="Endnote Text Char"/>
    <w:basedOn w:val="DefaultParagraphFont"/>
    <w:link w:val="EndnoteText"/>
    <w:rsid w:val="00D72044"/>
  </w:style>
  <w:style w:type="character" w:styleId="EndnoteReference">
    <w:name w:val="endnote reference"/>
    <w:rsid w:val="00D72044"/>
    <w:rPr>
      <w:vertAlign w:val="superscript"/>
    </w:rPr>
  </w:style>
  <w:style w:type="paragraph" w:styleId="Revision">
    <w:name w:val="Revision"/>
    <w:hidden/>
    <w:uiPriority w:val="99"/>
    <w:semiHidden/>
    <w:rsid w:val="004B1636"/>
    <w:rPr>
      <w:sz w:val="24"/>
      <w:szCs w:val="24"/>
    </w:rPr>
  </w:style>
  <w:style w:type="paragraph" w:styleId="ListParagraph">
    <w:name w:val="List Paragraph"/>
    <w:basedOn w:val="Normal"/>
    <w:uiPriority w:val="34"/>
    <w:qFormat/>
    <w:rsid w:val="00E44753"/>
    <w:pPr>
      <w:ind w:left="720"/>
      <w:contextualSpacing/>
    </w:pPr>
  </w:style>
  <w:style w:type="table" w:styleId="TableGrid">
    <w:name w:val="Table Grid"/>
    <w:basedOn w:val="TableNormal"/>
    <w:locked/>
    <w:rsid w:val="000C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114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F3C9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424D43"/>
    <w:pPr>
      <w:widowControl w:val="0"/>
      <w:autoSpaceDE w:val="0"/>
      <w:autoSpaceDN w:val="0"/>
    </w:pPr>
    <w:rPr>
      <w:rFonts w:ascii="PMingLiU" w:eastAsia="PMingLiU" w:hAnsi="PMingLiU" w:cs="PMingLiU"/>
      <w:sz w:val="22"/>
      <w:szCs w:val="22"/>
    </w:rPr>
  </w:style>
  <w:style w:type="character" w:customStyle="1" w:styleId="BodyTextChar">
    <w:name w:val="Body Text Char"/>
    <w:basedOn w:val="DefaultParagraphFont"/>
    <w:link w:val="BodyText"/>
    <w:uiPriority w:val="1"/>
    <w:rsid w:val="00424D43"/>
    <w:rPr>
      <w:rFonts w:ascii="PMingLiU" w:eastAsia="PMingLiU" w:hAnsi="PMingLiU" w:cs="PMingLiU"/>
      <w:sz w:val="22"/>
      <w:szCs w:val="22"/>
    </w:rPr>
  </w:style>
  <w:style w:type="paragraph" w:styleId="TOCHeading">
    <w:name w:val="TOC Heading"/>
    <w:basedOn w:val="Heading1"/>
    <w:next w:val="Normal"/>
    <w:uiPriority w:val="39"/>
    <w:unhideWhenUsed/>
    <w:qFormat/>
    <w:rsid w:val="007B6149"/>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locked/>
    <w:rsid w:val="007B6149"/>
    <w:pPr>
      <w:spacing w:after="100"/>
    </w:pPr>
  </w:style>
  <w:style w:type="character" w:styleId="Hyperlink">
    <w:name w:val="Hyperlink"/>
    <w:basedOn w:val="DefaultParagraphFont"/>
    <w:uiPriority w:val="99"/>
    <w:unhideWhenUsed/>
    <w:rsid w:val="007B6149"/>
    <w:rPr>
      <w:color w:val="0563C1" w:themeColor="hyperlink"/>
      <w:u w:val="single"/>
    </w:rPr>
  </w:style>
  <w:style w:type="character" w:customStyle="1" w:styleId="Heading2Char">
    <w:name w:val="Heading 2 Char"/>
    <w:basedOn w:val="DefaultParagraphFont"/>
    <w:link w:val="Heading2"/>
    <w:rsid w:val="00DF1D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F1D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DF1D9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DF1D9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DF1D9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DF1D9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DF1D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F1D9B"/>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locked/>
    <w:rsid w:val="00ED5746"/>
    <w:pPr>
      <w:tabs>
        <w:tab w:val="left" w:pos="880"/>
        <w:tab w:val="right" w:leader="dot" w:pos="9350"/>
      </w:tabs>
      <w:spacing w:after="100"/>
      <w:ind w:left="240"/>
      <w:jc w:val="both"/>
    </w:pPr>
    <w:rPr>
      <w:noProof/>
    </w:rPr>
  </w:style>
  <w:style w:type="paragraph" w:styleId="TOC3">
    <w:name w:val="toc 3"/>
    <w:basedOn w:val="Normal"/>
    <w:next w:val="Normal"/>
    <w:autoRedefine/>
    <w:uiPriority w:val="39"/>
    <w:locked/>
    <w:rsid w:val="002860BB"/>
    <w:pPr>
      <w:spacing w:after="100"/>
      <w:ind w:left="480"/>
    </w:pPr>
  </w:style>
  <w:style w:type="character" w:styleId="UnresolvedMention">
    <w:name w:val="Unresolved Mention"/>
    <w:basedOn w:val="DefaultParagraphFont"/>
    <w:uiPriority w:val="99"/>
    <w:semiHidden/>
    <w:unhideWhenUsed/>
    <w:rsid w:val="003412B6"/>
    <w:rPr>
      <w:color w:val="605E5C"/>
      <w:shd w:val="clear" w:color="auto" w:fill="E1DFDD"/>
    </w:rPr>
  </w:style>
  <w:style w:type="character" w:styleId="FollowedHyperlink">
    <w:name w:val="FollowedHyperlink"/>
    <w:basedOn w:val="DefaultParagraphFont"/>
    <w:rsid w:val="003412B6"/>
    <w:rPr>
      <w:color w:val="954F72" w:themeColor="followedHyperlink"/>
      <w:u w:val="single"/>
    </w:rPr>
  </w:style>
  <w:style w:type="character" w:styleId="Mention">
    <w:name w:val="Mention"/>
    <w:basedOn w:val="DefaultParagraphFont"/>
    <w:uiPriority w:val="99"/>
    <w:unhideWhenUsed/>
    <w:rsid w:val="007905B6"/>
    <w:rPr>
      <w:color w:val="2B579A"/>
      <w:shd w:val="clear" w:color="auto" w:fill="E1DFDD"/>
    </w:rPr>
  </w:style>
  <w:style w:type="paragraph" w:customStyle="1" w:styleId="paragraph">
    <w:name w:val="paragraph"/>
    <w:basedOn w:val="Normal"/>
    <w:rsid w:val="00F316B4"/>
    <w:pPr>
      <w:spacing w:before="100" w:beforeAutospacing="1" w:after="100" w:afterAutospacing="1"/>
    </w:pPr>
  </w:style>
  <w:style w:type="character" w:customStyle="1" w:styleId="normaltextrun">
    <w:name w:val="normaltextrun"/>
    <w:basedOn w:val="DefaultParagraphFont"/>
    <w:rsid w:val="00F316B4"/>
  </w:style>
  <w:style w:type="character" w:customStyle="1" w:styleId="superscript">
    <w:name w:val="superscript"/>
    <w:basedOn w:val="DefaultParagraphFont"/>
    <w:rsid w:val="00F316B4"/>
  </w:style>
  <w:style w:type="character" w:customStyle="1" w:styleId="eop">
    <w:name w:val="eop"/>
    <w:basedOn w:val="DefaultParagraphFont"/>
    <w:rsid w:val="00F3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07786">
      <w:bodyDiv w:val="1"/>
      <w:marLeft w:val="0"/>
      <w:marRight w:val="0"/>
      <w:marTop w:val="0"/>
      <w:marBottom w:val="0"/>
      <w:divBdr>
        <w:top w:val="none" w:sz="0" w:space="0" w:color="auto"/>
        <w:left w:val="none" w:sz="0" w:space="0" w:color="auto"/>
        <w:bottom w:val="none" w:sz="0" w:space="0" w:color="auto"/>
        <w:right w:val="none" w:sz="0" w:space="0" w:color="auto"/>
      </w:divBdr>
    </w:div>
    <w:div w:id="1485119882">
      <w:bodyDiv w:val="1"/>
      <w:marLeft w:val="0"/>
      <w:marRight w:val="0"/>
      <w:marTop w:val="0"/>
      <w:marBottom w:val="0"/>
      <w:divBdr>
        <w:top w:val="none" w:sz="0" w:space="0" w:color="auto"/>
        <w:left w:val="none" w:sz="0" w:space="0" w:color="auto"/>
        <w:bottom w:val="none" w:sz="0" w:space="0" w:color="auto"/>
        <w:right w:val="none" w:sz="0" w:space="0" w:color="auto"/>
      </w:divBdr>
    </w:div>
    <w:div w:id="18670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c688ba-bd49-4ef7-8da3-d30dfc062311">
      <Terms xmlns="http://schemas.microsoft.com/office/infopath/2007/PartnerControls"/>
    </lcf76f155ced4ddcb4097134ff3c332f>
    <TaxCatchAll xmlns="7e319761-ed1e-456c-966a-56dbb86f6acb" xsi:nil="true"/>
    <SharedWithUsers xmlns="7e319761-ed1e-456c-966a-56dbb86f6acb">
      <UserInfo>
        <DisplayName>Hanley, John T (DCO/SEC-PFS)</DisplayName>
        <AccountId>473</AccountId>
        <AccountType/>
      </UserInfo>
      <UserInfo>
        <DisplayName>Shoemaker, Ashley M (DCO/SEC-PFS)</DisplayName>
        <AccountId>240</AccountId>
        <AccountType/>
      </UserInfo>
      <UserInfo>
        <DisplayName>Deehy, Suzanne M (AF/FMD)</DisplayName>
        <AccountId>59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72F52D58C5F4448A5F2A5FF54E0C9D" ma:contentTypeVersion="15" ma:contentTypeDescription="Create a new document." ma:contentTypeScope="" ma:versionID="14b18e8ca45a90f8474a7785d68cf836">
  <xsd:schema xmlns:xsd="http://www.w3.org/2001/XMLSchema" xmlns:xs="http://www.w3.org/2001/XMLSchema" xmlns:p="http://schemas.microsoft.com/office/2006/metadata/properties" xmlns:ns2="7fc688ba-bd49-4ef7-8da3-d30dfc062311" xmlns:ns3="7e319761-ed1e-456c-966a-56dbb86f6acb" targetNamespace="http://schemas.microsoft.com/office/2006/metadata/properties" ma:root="true" ma:fieldsID="240668aa403666ab615c79fc2eacaddf" ns2:_="" ns3:_="">
    <xsd:import namespace="7fc688ba-bd49-4ef7-8da3-d30dfc062311"/>
    <xsd:import namespace="7e319761-ed1e-456c-966a-56dbb86f6a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688ba-bd49-4ef7-8da3-d30dfc06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319761-ed1e-456c-966a-56dbb86f6a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a950ca-db59-4478-a117-8844a9eff226}" ma:internalName="TaxCatchAll" ma:showField="CatchAllData" ma:web="7e319761-ed1e-456c-966a-56dbb86f6ac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D291BB4-F271-4DFF-B319-57EF3BDFCBC0}">
  <ds:schemaRefs>
    <ds:schemaRef ds:uri="http://schemas.openxmlformats.org/officeDocument/2006/bibliography"/>
  </ds:schemaRefs>
</ds:datastoreItem>
</file>

<file path=customXml/itemProps2.xml><?xml version="1.0" encoding="utf-8"?>
<ds:datastoreItem xmlns:ds="http://schemas.openxmlformats.org/officeDocument/2006/customXml" ds:itemID="{90B7F5B2-AE81-44AC-AF4C-C5C34618A6D2}">
  <ds:schemaRefs>
    <ds:schemaRef ds:uri="http://purl.org/dc/elements/1.1/"/>
    <ds:schemaRef ds:uri="http://purl.org/dc/terms/"/>
    <ds:schemaRef ds:uri="http://schemas.openxmlformats.org/package/2006/metadata/core-properties"/>
    <ds:schemaRef ds:uri="e66d0525-9d3e-42da-b39f-5d369866742f"/>
    <ds:schemaRef ds:uri="http://purl.org/dc/dcmitype/"/>
    <ds:schemaRef ds:uri="http://schemas.microsoft.com/office/infopath/2007/PartnerControls"/>
    <ds:schemaRef ds:uri="http://schemas.microsoft.com/office/2006/documentManagement/types"/>
    <ds:schemaRef ds:uri="http://schemas.microsoft.com/office/2006/metadata/properties"/>
    <ds:schemaRef ds:uri="5a37dbba-d6ef-4a50-b33c-2945dce3a1b8"/>
    <ds:schemaRef ds:uri="http://www.w3.org/XML/1998/namespace"/>
  </ds:schemaRefs>
</ds:datastoreItem>
</file>

<file path=customXml/itemProps3.xml><?xml version="1.0" encoding="utf-8"?>
<ds:datastoreItem xmlns:ds="http://schemas.openxmlformats.org/officeDocument/2006/customXml" ds:itemID="{748B74A8-23B6-49BC-82C4-E99F0704AF4A}">
  <ds:schemaRefs>
    <ds:schemaRef ds:uri="http://schemas.microsoft.com/sharepoint/v3/contenttype/forms"/>
  </ds:schemaRefs>
</ds:datastoreItem>
</file>

<file path=customXml/itemProps4.xml><?xml version="1.0" encoding="utf-8"?>
<ds:datastoreItem xmlns:ds="http://schemas.openxmlformats.org/officeDocument/2006/customXml" ds:itemID="{0FB06393-B506-44D7-8572-A1FC068DD33E}"/>
</file>

<file path=customXml/itemProps5.xml><?xml version="1.0" encoding="utf-8"?>
<ds:datastoreItem xmlns:ds="http://schemas.openxmlformats.org/officeDocument/2006/customXml" ds:itemID="{DDD1BFC2-F39C-4FD8-AE1C-3A6F6BC8B6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4604</Words>
  <Characters>25487</Characters>
  <Application>Microsoft Office Word</Application>
  <DocSecurity>0</DocSecurity>
  <Lines>212</Lines>
  <Paragraphs>60</Paragraphs>
  <ScaleCrop>false</ScaleCrop>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Guidance on Quarterly Financial Reports</dc:title>
  <dc:subject/>
  <dc:creator>Millennium Challenge Corporation</dc:creator>
  <cp:keywords/>
  <dc:description/>
  <cp:lastModifiedBy>Alboher, Stacy A (DCO/DCO-FO)</cp:lastModifiedBy>
  <cp:revision>45</cp:revision>
  <cp:lastPrinted>2018-07-29T04:41:00Z</cp:lastPrinted>
  <dcterms:created xsi:type="dcterms:W3CDTF">2024-02-05T16:38:00Z</dcterms:created>
  <dcterms:modified xsi:type="dcterms:W3CDTF">2024-02-23T16:05:00Z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Uploaded on">
    <vt:lpwstr>2009-04-29T00:00:00Z</vt:lpwstr>
  </property>
  <property fmtid="{D5CDD505-2E9C-101B-9397-08002B2CF9AE}" pid="4" name="PFA Lead">
    <vt:lpwstr>McMahon, Doris</vt:lpwstr>
  </property>
  <property fmtid="{D5CDD505-2E9C-101B-9397-08002B2CF9AE}" pid="5" name="Country">
    <vt:lpwstr>N/A</vt:lpwstr>
  </property>
  <property fmtid="{D5CDD505-2E9C-101B-9397-08002B2CF9AE}" pid="6" name="Phases">
    <vt:lpwstr>N/A</vt:lpwstr>
  </property>
  <property fmtid="{D5CDD505-2E9C-101B-9397-08002B2CF9AE}" pid="7" name="Guidance Documents">
    <vt:lpwstr>0</vt:lpwstr>
  </property>
  <property fmtid="{D5CDD505-2E9C-101B-9397-08002B2CF9AE}" pid="8" name="Document Name">
    <vt:lpwstr>Annex 2a</vt:lpwstr>
  </property>
  <property fmtid="{D5CDD505-2E9C-101B-9397-08002B2CF9AE}" pid="9" name="Countries">
    <vt:lpwstr>N/A</vt:lpwstr>
  </property>
  <property fmtid="{D5CDD505-2E9C-101B-9397-08002B2CF9AE}" pid="10" name="Origin">
    <vt:lpwstr>External</vt:lpwstr>
  </property>
  <property fmtid="{D5CDD505-2E9C-101B-9397-08002B2CF9AE}" pid="11" name="Finance">
    <vt:lpwstr>0</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0x010100DA7A53CED63B884CAD6F35C5639D369C</vt:lpwstr>
  </property>
  <property fmtid="{D5CDD505-2E9C-101B-9397-08002B2CF9AE}" pid="15" name="ClassificationContentMarkingHeaderShapeIds">
    <vt:lpwstr>3,4,5</vt:lpwstr>
  </property>
  <property fmtid="{D5CDD505-2E9C-101B-9397-08002B2CF9AE}" pid="16" name="ClassificationContentMarkingHeaderFontProps">
    <vt:lpwstr>#008000,12,Calibri</vt:lpwstr>
  </property>
  <property fmtid="{D5CDD505-2E9C-101B-9397-08002B2CF9AE}" pid="17" name="ClassificationContentMarkingHeaderText">
    <vt:lpwstr>UNCLASSIFIED</vt:lpwstr>
  </property>
  <property fmtid="{D5CDD505-2E9C-101B-9397-08002B2CF9AE}" pid="18" name="MSIP_Label_676e9a81-9c38-4f91-9146-84cda847f359_Enabled">
    <vt:lpwstr>true</vt:lpwstr>
  </property>
  <property fmtid="{D5CDD505-2E9C-101B-9397-08002B2CF9AE}" pid="19" name="MSIP_Label_676e9a81-9c38-4f91-9146-84cda847f359_SetDate">
    <vt:lpwstr>2024-01-12T22:22:01Z</vt:lpwstr>
  </property>
  <property fmtid="{D5CDD505-2E9C-101B-9397-08002B2CF9AE}" pid="20" name="MSIP_Label_676e9a81-9c38-4f91-9146-84cda847f359_Method">
    <vt:lpwstr>Standard</vt:lpwstr>
  </property>
  <property fmtid="{D5CDD505-2E9C-101B-9397-08002B2CF9AE}" pid="21" name="MSIP_Label_676e9a81-9c38-4f91-9146-84cda847f359_Name">
    <vt:lpwstr>UNCLASSIFIED</vt:lpwstr>
  </property>
  <property fmtid="{D5CDD505-2E9C-101B-9397-08002B2CF9AE}" pid="22" name="MSIP_Label_676e9a81-9c38-4f91-9146-84cda847f359_SiteId">
    <vt:lpwstr>c12a9f27-505d-4fc6-9afa-a0fd65d9e984</vt:lpwstr>
  </property>
  <property fmtid="{D5CDD505-2E9C-101B-9397-08002B2CF9AE}" pid="23" name="MSIP_Label_676e9a81-9c38-4f91-9146-84cda847f359_ActionId">
    <vt:lpwstr>3431ca8b-8e4c-49de-add5-a5a614b3106e</vt:lpwstr>
  </property>
  <property fmtid="{D5CDD505-2E9C-101B-9397-08002B2CF9AE}" pid="24" name="MSIP_Label_676e9a81-9c38-4f91-9146-84cda847f359_ContentBits">
    <vt:lpwstr>1</vt:lpwstr>
  </property>
  <property fmtid="{D5CDD505-2E9C-101B-9397-08002B2CF9AE}" pid="25" name="MediaServiceImageTags">
    <vt:lpwstr/>
  </property>
</Properties>
</file>